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BC0" w:rsidRDefault="00F76D54" w:rsidP="00625900">
      <w:pPr>
        <w:pStyle w:val="Heading2"/>
        <w:numPr>
          <w:ilvl w:val="0"/>
          <w:numId w:val="0"/>
        </w:numPr>
        <w:ind w:left="720"/>
        <w:jc w:val="center"/>
      </w:pPr>
      <w:r>
        <w:t xml:space="preserve">POSITION OF THE </w:t>
      </w:r>
      <w:r w:rsidR="007C39FA">
        <w:t xml:space="preserve">REPUBLIKA SRPSKA </w:t>
      </w:r>
      <w:r>
        <w:t xml:space="preserve">GOVERNMENT </w:t>
      </w:r>
      <w:r w:rsidR="00B54CBE">
        <w:t>REGARDING</w:t>
      </w:r>
      <w:r>
        <w:t xml:space="preserve"> THE</w:t>
      </w:r>
      <w:r w:rsidR="00152460">
        <w:t xml:space="preserve"> HIGH REPRESENTATIVE'S</w:t>
      </w:r>
      <w:r>
        <w:t xml:space="preserve"> DECISION </w:t>
      </w:r>
      <w:r w:rsidR="00E72D93">
        <w:t>OF</w:t>
      </w:r>
      <w:r>
        <w:t xml:space="preserve"> </w:t>
      </w:r>
      <w:smartTag w:uri="urn:schemas-microsoft-com:office:smarttags" w:element="date">
        <w:smartTagPr>
          <w:attr w:name="Year" w:val="2009"/>
          <w:attr w:name="Day" w:val="14"/>
          <w:attr w:name="Month" w:val="12"/>
        </w:smartTagPr>
        <w:r>
          <w:t>14 DECEMBER 2009</w:t>
        </w:r>
      </w:smartTag>
      <w:r>
        <w:t xml:space="preserve"> </w:t>
      </w:r>
    </w:p>
    <w:p w:rsidR="007C39FA" w:rsidRDefault="007C39FA" w:rsidP="007C39FA"/>
    <w:p w:rsidR="007C39FA" w:rsidRPr="00BE6714" w:rsidRDefault="00CE7A47" w:rsidP="007C39FA">
      <w:pPr>
        <w:jc w:val="center"/>
        <w:rPr>
          <w:rFonts w:ascii="Times New Roman" w:hAnsi="Times New Roman"/>
          <w:b/>
          <w:sz w:val="24"/>
          <w:szCs w:val="24"/>
        </w:rPr>
      </w:pPr>
      <w:r w:rsidRPr="00CE7A47">
        <w:rPr>
          <w:rFonts w:ascii="Times New Roman" w:hAnsi="Times New Roman"/>
          <w:b/>
          <w:sz w:val="24"/>
          <w:szCs w:val="24"/>
        </w:rPr>
        <w:t xml:space="preserve">Republika Srpska </w:t>
      </w:r>
      <w:r w:rsidR="00BE6714">
        <w:rPr>
          <w:rFonts w:ascii="Times New Roman" w:hAnsi="Times New Roman"/>
          <w:b/>
          <w:sz w:val="24"/>
          <w:szCs w:val="24"/>
        </w:rPr>
        <w:t>C</w:t>
      </w:r>
      <w:r w:rsidRPr="00CE7A47">
        <w:rPr>
          <w:rFonts w:ascii="Times New Roman" w:hAnsi="Times New Roman"/>
          <w:b/>
          <w:sz w:val="24"/>
          <w:szCs w:val="24"/>
        </w:rPr>
        <w:t xml:space="preserve">annot </w:t>
      </w:r>
      <w:r w:rsidR="00BE6714">
        <w:rPr>
          <w:rFonts w:ascii="Times New Roman" w:hAnsi="Times New Roman"/>
          <w:b/>
          <w:sz w:val="24"/>
          <w:szCs w:val="24"/>
        </w:rPr>
        <w:t>A</w:t>
      </w:r>
      <w:r w:rsidRPr="00CE7A47">
        <w:rPr>
          <w:rFonts w:ascii="Times New Roman" w:hAnsi="Times New Roman"/>
          <w:b/>
          <w:sz w:val="24"/>
          <w:szCs w:val="24"/>
        </w:rPr>
        <w:t xml:space="preserve">ccept the High Representative's </w:t>
      </w:r>
      <w:r w:rsidR="00BE6714">
        <w:rPr>
          <w:rFonts w:ascii="Times New Roman" w:hAnsi="Times New Roman"/>
          <w:b/>
          <w:sz w:val="24"/>
          <w:szCs w:val="24"/>
        </w:rPr>
        <w:t>U</w:t>
      </w:r>
      <w:r w:rsidRPr="00CE7A47">
        <w:rPr>
          <w:rFonts w:ascii="Times New Roman" w:hAnsi="Times New Roman"/>
          <w:b/>
          <w:sz w:val="24"/>
          <w:szCs w:val="24"/>
        </w:rPr>
        <w:t xml:space="preserve">nlawful </w:t>
      </w:r>
      <w:r w:rsidR="00BE6714">
        <w:rPr>
          <w:rFonts w:ascii="Times New Roman" w:hAnsi="Times New Roman"/>
          <w:b/>
          <w:sz w:val="24"/>
          <w:szCs w:val="24"/>
        </w:rPr>
        <w:t>D</w:t>
      </w:r>
      <w:r w:rsidRPr="00CE7A47">
        <w:rPr>
          <w:rFonts w:ascii="Times New Roman" w:hAnsi="Times New Roman"/>
          <w:b/>
          <w:sz w:val="24"/>
          <w:szCs w:val="24"/>
        </w:rPr>
        <w:t xml:space="preserve">ecisions and </w:t>
      </w:r>
      <w:r w:rsidR="00BE6714">
        <w:rPr>
          <w:rFonts w:ascii="Times New Roman" w:hAnsi="Times New Roman"/>
          <w:b/>
          <w:sz w:val="24"/>
          <w:szCs w:val="24"/>
        </w:rPr>
        <w:t>H</w:t>
      </w:r>
      <w:r w:rsidRPr="00CE7A47">
        <w:rPr>
          <w:rFonts w:ascii="Times New Roman" w:hAnsi="Times New Roman"/>
          <w:b/>
          <w:sz w:val="24"/>
          <w:szCs w:val="24"/>
        </w:rPr>
        <w:t xml:space="preserve">ence </w:t>
      </w:r>
      <w:r w:rsidR="00BE6714">
        <w:rPr>
          <w:rFonts w:ascii="Times New Roman" w:hAnsi="Times New Roman"/>
          <w:b/>
          <w:sz w:val="24"/>
          <w:szCs w:val="24"/>
        </w:rPr>
        <w:t>R</w:t>
      </w:r>
      <w:r w:rsidRPr="00CE7A47">
        <w:rPr>
          <w:rFonts w:ascii="Times New Roman" w:hAnsi="Times New Roman"/>
          <w:b/>
          <w:sz w:val="24"/>
          <w:szCs w:val="24"/>
        </w:rPr>
        <w:t xml:space="preserve">ejects </w:t>
      </w:r>
      <w:r w:rsidR="00BE6714">
        <w:rPr>
          <w:rFonts w:ascii="Times New Roman" w:hAnsi="Times New Roman"/>
          <w:b/>
          <w:sz w:val="24"/>
          <w:szCs w:val="24"/>
        </w:rPr>
        <w:t>T</w:t>
      </w:r>
      <w:r w:rsidRPr="00CE7A47">
        <w:rPr>
          <w:rFonts w:ascii="Times New Roman" w:hAnsi="Times New Roman"/>
          <w:b/>
          <w:sz w:val="24"/>
          <w:szCs w:val="24"/>
        </w:rPr>
        <w:t xml:space="preserve">hem </w:t>
      </w:r>
      <w:r w:rsidR="00BE6714">
        <w:rPr>
          <w:rFonts w:ascii="Times New Roman" w:hAnsi="Times New Roman"/>
          <w:b/>
          <w:sz w:val="24"/>
          <w:szCs w:val="24"/>
        </w:rPr>
        <w:t>E</w:t>
      </w:r>
      <w:r w:rsidRPr="00CE7A47">
        <w:rPr>
          <w:rFonts w:ascii="Times New Roman" w:hAnsi="Times New Roman"/>
          <w:b/>
          <w:sz w:val="24"/>
          <w:szCs w:val="24"/>
        </w:rPr>
        <w:t>ntirely</w:t>
      </w:r>
    </w:p>
    <w:p w:rsidR="00152460" w:rsidRPr="00FA704E" w:rsidRDefault="00152460" w:rsidP="00152460">
      <w:pPr>
        <w:pStyle w:val="NumberedParagraphs"/>
      </w:pPr>
      <w:r w:rsidRPr="00FA704E">
        <w:t xml:space="preserve">The </w:t>
      </w:r>
      <w:r w:rsidR="002E4D17" w:rsidRPr="00FA704E">
        <w:t xml:space="preserve">Republika Srpska </w:t>
      </w:r>
      <w:r w:rsidRPr="00FA704E">
        <w:t xml:space="preserve">Government has </w:t>
      </w:r>
      <w:r w:rsidR="002E4D17" w:rsidRPr="00FA704E">
        <w:t xml:space="preserve">a </w:t>
      </w:r>
      <w:r w:rsidRPr="00FA704E">
        <w:t xml:space="preserve">legal obligation </w:t>
      </w:r>
      <w:r w:rsidR="002E4D17" w:rsidRPr="00FA704E">
        <w:t xml:space="preserve">not </w:t>
      </w:r>
      <w:r w:rsidRPr="00FA704E">
        <w:t xml:space="preserve">to accept or implement the High Representative’s decisions, </w:t>
      </w:r>
      <w:r w:rsidR="005D2535" w:rsidRPr="00FA704E">
        <w:t>hence</w:t>
      </w:r>
      <w:r w:rsidRPr="00FA704E">
        <w:t xml:space="preserve"> it rejects them</w:t>
      </w:r>
      <w:r w:rsidR="007F41BF" w:rsidRPr="00FA704E">
        <w:t xml:space="preserve"> entirely</w:t>
      </w:r>
      <w:r w:rsidR="00E874B8" w:rsidRPr="00FA704E">
        <w:t>.</w:t>
      </w:r>
      <w:r w:rsidRPr="00FA704E">
        <w:t xml:space="preserve">  </w:t>
      </w:r>
      <w:r w:rsidRPr="00FA704E">
        <w:rPr>
          <w:iCs/>
        </w:rPr>
        <w:t xml:space="preserve">The Government is bound by </w:t>
      </w:r>
      <w:r w:rsidR="004334A2" w:rsidRPr="00FA704E">
        <w:rPr>
          <w:iCs/>
        </w:rPr>
        <w:t xml:space="preserve">the </w:t>
      </w:r>
      <w:r w:rsidRPr="00FA704E">
        <w:rPr>
          <w:iCs/>
        </w:rPr>
        <w:t xml:space="preserve">law and </w:t>
      </w:r>
      <w:r w:rsidR="002E4D17" w:rsidRPr="00FA704E">
        <w:rPr>
          <w:iCs/>
        </w:rPr>
        <w:t xml:space="preserve">constitution </w:t>
      </w:r>
      <w:r w:rsidRPr="00FA704E">
        <w:rPr>
          <w:iCs/>
        </w:rPr>
        <w:t>to conduct its affairs according to the rule of law. This is required by the domestic law of BiH, including the BiH and Republika Srpska Constitutions, and applicable international law. For this reason, the Government cannot accept as legally valid or implement decisions and orders of the High Representative that are inconsistent with BiH and Entity law and obligations of BiH pursuant to international law.</w:t>
      </w:r>
      <w:r w:rsidRPr="00FA704E">
        <w:rPr>
          <w:rStyle w:val="FootnoteReference"/>
          <w:iCs/>
        </w:rPr>
        <w:footnoteReference w:id="1"/>
      </w:r>
      <w:r w:rsidRPr="00FA704E">
        <w:rPr>
          <w:iCs/>
        </w:rPr>
        <w:t xml:space="preserve">  </w:t>
      </w:r>
    </w:p>
    <w:p w:rsidR="00082ABA" w:rsidRPr="00FA704E" w:rsidRDefault="00082ABA" w:rsidP="00DF33C3">
      <w:pPr>
        <w:pStyle w:val="NumberedParagraphs"/>
      </w:pPr>
      <w:r w:rsidRPr="00FA704E">
        <w:t xml:space="preserve">The Republika Srpska Government remains committed and </w:t>
      </w:r>
      <w:r w:rsidR="00AE2C9B" w:rsidRPr="00FA704E">
        <w:t xml:space="preserve">continues to adhere to </w:t>
      </w:r>
      <w:r w:rsidR="002E4D17" w:rsidRPr="00FA704E">
        <w:t xml:space="preserve">the </w:t>
      </w:r>
      <w:r w:rsidR="003C4640" w:rsidRPr="00FA704E">
        <w:t xml:space="preserve">legal </w:t>
      </w:r>
      <w:r w:rsidR="00320F5F" w:rsidRPr="00FA704E">
        <w:t xml:space="preserve">pursuit </w:t>
      </w:r>
      <w:r w:rsidR="003C4640" w:rsidRPr="00FA704E">
        <w:t>and pro</w:t>
      </w:r>
      <w:r w:rsidR="00950745" w:rsidRPr="00FA704E">
        <w:t>secution</w:t>
      </w:r>
      <w:r w:rsidR="003C4640" w:rsidRPr="00FA704E">
        <w:t xml:space="preserve"> of all war crime cases.</w:t>
      </w:r>
    </w:p>
    <w:p w:rsidR="00E874B8" w:rsidRPr="00FA704E" w:rsidRDefault="00B477AE" w:rsidP="00DF33C3">
      <w:pPr>
        <w:pStyle w:val="NumberedParagraphs"/>
      </w:pPr>
      <w:r w:rsidRPr="00FA704E">
        <w:t xml:space="preserve">The Court of Bosnia and Herzegovina and Prosecutor's Office of Bosnia and Herzegovina are foreign bodies in the </w:t>
      </w:r>
      <w:r w:rsidR="00482642" w:rsidRPr="00FA704E">
        <w:t>judicial</w:t>
      </w:r>
      <w:r w:rsidRPr="00FA704E">
        <w:t xml:space="preserve"> system of B</w:t>
      </w:r>
      <w:r w:rsidR="00F97715" w:rsidRPr="00FA704E">
        <w:t>iH</w:t>
      </w:r>
      <w:r w:rsidRPr="00FA704E">
        <w:t xml:space="preserve">, imposed by decisions of the High Representatives in contravention </w:t>
      </w:r>
      <w:r w:rsidR="00F97715" w:rsidRPr="00FA704E">
        <w:t xml:space="preserve">of </w:t>
      </w:r>
      <w:r w:rsidRPr="00FA704E">
        <w:t xml:space="preserve">the Constitution of </w:t>
      </w:r>
      <w:r w:rsidR="00F97715" w:rsidRPr="00FA704E">
        <w:t>BiH</w:t>
      </w:r>
      <w:r w:rsidRPr="00FA704E">
        <w:t xml:space="preserve"> as </w:t>
      </w:r>
      <w:r w:rsidR="00F97715" w:rsidRPr="00FA704E">
        <w:t xml:space="preserve">provided </w:t>
      </w:r>
      <w:r w:rsidRPr="00FA704E">
        <w:t xml:space="preserve">in Annex 4 to the international agreement </w:t>
      </w:r>
      <w:r w:rsidR="00305151" w:rsidRPr="00FA704E">
        <w:t>known as</w:t>
      </w:r>
      <w:r w:rsidRPr="00FA704E">
        <w:t xml:space="preserve"> the Dayton A</w:t>
      </w:r>
      <w:r w:rsidR="00F97715" w:rsidRPr="00FA704E">
        <w:t>ccords</w:t>
      </w:r>
      <w:r w:rsidRPr="00FA704E">
        <w:t xml:space="preserve">. </w:t>
      </w:r>
      <w:r w:rsidR="00F97715" w:rsidRPr="00FA704E">
        <w:t xml:space="preserve"> </w:t>
      </w:r>
      <w:r w:rsidRPr="00FA704E">
        <w:t xml:space="preserve">The High Representative is an interpreter </w:t>
      </w:r>
      <w:r w:rsidR="00305151" w:rsidRPr="00FA704E">
        <w:t xml:space="preserve">of </w:t>
      </w:r>
      <w:r w:rsidR="00F97715" w:rsidRPr="00FA704E">
        <w:t xml:space="preserve">only </w:t>
      </w:r>
      <w:r w:rsidR="00305151" w:rsidRPr="00FA704E">
        <w:t xml:space="preserve">Annex 10 </w:t>
      </w:r>
      <w:r w:rsidR="00F97715" w:rsidRPr="00FA704E">
        <w:t xml:space="preserve">to </w:t>
      </w:r>
      <w:r w:rsidR="00305151" w:rsidRPr="00FA704E">
        <w:t>the Dayton A</w:t>
      </w:r>
      <w:r w:rsidR="00F97715" w:rsidRPr="00FA704E">
        <w:t>ccords</w:t>
      </w:r>
      <w:r w:rsidR="00305151" w:rsidRPr="00FA704E">
        <w:t xml:space="preserve"> and has no mandate to interpret Annex 4</w:t>
      </w:r>
      <w:r w:rsidRPr="00FA704E">
        <w:t xml:space="preserve"> </w:t>
      </w:r>
      <w:r w:rsidR="00305151" w:rsidRPr="00FA704E">
        <w:t>– the BiH Constitution</w:t>
      </w:r>
      <w:r w:rsidR="00524D0A" w:rsidRPr="00FA704E">
        <w:t>;</w:t>
      </w:r>
      <w:r w:rsidR="00305151" w:rsidRPr="00FA704E">
        <w:t xml:space="preserve"> in particular</w:t>
      </w:r>
      <w:r w:rsidR="007C206A" w:rsidRPr="00FA704E">
        <w:t>,</w:t>
      </w:r>
      <w:r w:rsidR="00305151" w:rsidRPr="00FA704E">
        <w:t xml:space="preserve"> he has no mandate to amend the BiH Constitution. Also, the BiH Constitutional Court has no mandate to amend the BiH Constitution but only to assess </w:t>
      </w:r>
      <w:r w:rsidR="00F97715" w:rsidRPr="00FA704E">
        <w:t xml:space="preserve">whether </w:t>
      </w:r>
      <w:r w:rsidR="00DC1E60" w:rsidRPr="00FA704E">
        <w:t>legislation</w:t>
      </w:r>
      <w:r w:rsidR="00305151" w:rsidRPr="00FA704E">
        <w:t xml:space="preserve"> issued by authorities </w:t>
      </w:r>
      <w:r w:rsidR="00F97715" w:rsidRPr="00FA704E">
        <w:t xml:space="preserve">conforms </w:t>
      </w:r>
      <w:r w:rsidR="003F690B">
        <w:t>to</w:t>
      </w:r>
      <w:r w:rsidR="00305151" w:rsidRPr="00FA704E">
        <w:t xml:space="preserve"> the BiH Constitution.  </w:t>
      </w:r>
      <w:r w:rsidR="00F97715" w:rsidRPr="00FA704E">
        <w:t xml:space="preserve">Because </w:t>
      </w:r>
      <w:r w:rsidR="00305151" w:rsidRPr="00FA704E">
        <w:t xml:space="preserve">there is no mention of either the BiH Court or the BiH Prosecutor's Office in the Constitution, then any discussion about whether such imposed bodies are a constitutional category is illusory. </w:t>
      </w:r>
      <w:r w:rsidR="00E31B06" w:rsidRPr="00FA704E">
        <w:t xml:space="preserve">For this reason, </w:t>
      </w:r>
      <w:r w:rsidR="00515FE8" w:rsidRPr="00FA704E">
        <w:t xml:space="preserve">the decision on the </w:t>
      </w:r>
      <w:r w:rsidR="00FB106D" w:rsidRPr="00FA704E">
        <w:t>constitutionality</w:t>
      </w:r>
      <w:r w:rsidR="00515FE8" w:rsidRPr="00FA704E">
        <w:t xml:space="preserve"> </w:t>
      </w:r>
      <w:r w:rsidR="00A30645" w:rsidRPr="00FA704E">
        <w:t xml:space="preserve">of BiH institutions </w:t>
      </w:r>
      <w:r w:rsidR="003F690B">
        <w:t>was</w:t>
      </w:r>
      <w:r w:rsidR="00712D40" w:rsidRPr="00FA704E">
        <w:t xml:space="preserve"> </w:t>
      </w:r>
      <w:r w:rsidR="001828A7" w:rsidRPr="00FA704E">
        <w:t xml:space="preserve">thus </w:t>
      </w:r>
      <w:r w:rsidR="00515FE8" w:rsidRPr="00FA704E">
        <w:t>installed</w:t>
      </w:r>
      <w:r w:rsidR="001828A7" w:rsidRPr="00FA704E">
        <w:t>,</w:t>
      </w:r>
      <w:r w:rsidR="00515FE8" w:rsidRPr="00FA704E">
        <w:t xml:space="preserve"> </w:t>
      </w:r>
      <w:r w:rsidR="00712D40" w:rsidRPr="00FA704E">
        <w:t>where the Serb and Croat judges were outvoted by the three foreigners and two Bosniaks</w:t>
      </w:r>
      <w:r w:rsidR="00FA704E" w:rsidRPr="00FA704E">
        <w:t>.</w:t>
      </w:r>
      <w:r w:rsidR="003F690B">
        <w:t xml:space="preserve">  </w:t>
      </w:r>
      <w:r w:rsidR="00A30645" w:rsidRPr="00FA704E">
        <w:t xml:space="preserve">With such </w:t>
      </w:r>
      <w:r w:rsidR="00F97715" w:rsidRPr="00FA704E">
        <w:t xml:space="preserve">a </w:t>
      </w:r>
      <w:r w:rsidR="00A30645" w:rsidRPr="00FA704E">
        <w:t xml:space="preserve">decision, the Constitutional Court </w:t>
      </w:r>
      <w:r w:rsidR="001828A7" w:rsidRPr="00FA704E">
        <w:t>joined in</w:t>
      </w:r>
      <w:r w:rsidR="00A30645" w:rsidRPr="00FA704E">
        <w:t xml:space="preserve"> the </w:t>
      </w:r>
      <w:r w:rsidR="00DB5A1D" w:rsidRPr="00FA704E">
        <w:t>High Representative’</w:t>
      </w:r>
      <w:r w:rsidR="003F690B">
        <w:t>s unlawful practice of imposing</w:t>
      </w:r>
      <w:r w:rsidR="00A30645" w:rsidRPr="00FA704E">
        <w:t xml:space="preserve"> law</w:t>
      </w:r>
      <w:r w:rsidR="00DB5A1D" w:rsidRPr="00FA704E">
        <w:t>.</w:t>
      </w:r>
      <w:r w:rsidR="00A30645" w:rsidRPr="00FA704E">
        <w:t xml:space="preserve"> </w:t>
      </w:r>
      <w:r w:rsidR="006D1F4C">
        <w:t xml:space="preserve"> </w:t>
      </w:r>
      <w:r w:rsidR="00A30645" w:rsidRPr="00FA704E">
        <w:t xml:space="preserve">This is why the work of the BiH Court and BiH Prosecutor's Office constitutes </w:t>
      </w:r>
      <w:r w:rsidR="00320F5F" w:rsidRPr="00FA704E">
        <w:t>an assault on law</w:t>
      </w:r>
      <w:r w:rsidR="00A30645" w:rsidRPr="00FA704E">
        <w:t>, which is</w:t>
      </w:r>
      <w:r w:rsidR="00A82834" w:rsidRPr="00FA704E">
        <w:t xml:space="preserve"> </w:t>
      </w:r>
      <w:r w:rsidR="00A30645" w:rsidRPr="00FA704E">
        <w:t>corroborated by today's decision</w:t>
      </w:r>
      <w:r w:rsidR="00585BCA">
        <w:t>s</w:t>
      </w:r>
      <w:r w:rsidR="00A30645" w:rsidRPr="00FA704E">
        <w:t xml:space="preserve"> of the High Representative.</w:t>
      </w:r>
    </w:p>
    <w:p w:rsidR="00233A17" w:rsidRPr="00FA704E" w:rsidRDefault="001A4627" w:rsidP="00DF33C3">
      <w:pPr>
        <w:pStyle w:val="NumberedParagraphs"/>
      </w:pPr>
      <w:r w:rsidRPr="00FA704E">
        <w:t>It is in</w:t>
      </w:r>
      <w:r w:rsidR="00233A17" w:rsidRPr="00FA704E">
        <w:t xml:space="preserve"> this context</w:t>
      </w:r>
      <w:r w:rsidRPr="00FA704E">
        <w:t xml:space="preserve"> that</w:t>
      </w:r>
      <w:r w:rsidR="00233A17" w:rsidRPr="00FA704E">
        <w:t xml:space="preserve"> the attempt to extend the mandate of foreign prosecutors and judges </w:t>
      </w:r>
      <w:r w:rsidRPr="00FA704E">
        <w:t>working in</w:t>
      </w:r>
      <w:r w:rsidR="00233A17" w:rsidRPr="00FA704E">
        <w:t xml:space="preserve"> the BiH Prosecutor's Office and BiH Court</w:t>
      </w:r>
      <w:r w:rsidR="00726DD0" w:rsidRPr="00FA704E">
        <w:t>,</w:t>
      </w:r>
      <w:r w:rsidR="00233A17" w:rsidRPr="00FA704E">
        <w:t xml:space="preserve"> by the High Representative imposing the law</w:t>
      </w:r>
      <w:r w:rsidR="00726DD0" w:rsidRPr="00FA704E">
        <w:t>,</w:t>
      </w:r>
      <w:r w:rsidR="00233A17" w:rsidRPr="00FA704E">
        <w:t xml:space="preserve"> should be </w:t>
      </w:r>
      <w:r w:rsidR="00A82834" w:rsidRPr="00FA704E">
        <w:t>analy</w:t>
      </w:r>
      <w:r w:rsidR="00F97715" w:rsidRPr="00FA704E">
        <w:t>z</w:t>
      </w:r>
      <w:r w:rsidR="00A82834" w:rsidRPr="00FA704E">
        <w:t>ed</w:t>
      </w:r>
      <w:r w:rsidR="00233A17" w:rsidRPr="00FA704E">
        <w:t xml:space="preserve">. </w:t>
      </w:r>
      <w:r w:rsidR="006D1F4C">
        <w:t xml:space="preserve"> </w:t>
      </w:r>
      <w:r w:rsidR="00233A17" w:rsidRPr="00FA704E">
        <w:t xml:space="preserve">The High Representative’s </w:t>
      </w:r>
      <w:r w:rsidR="00F97715" w:rsidRPr="00FA704E">
        <w:t>d</w:t>
      </w:r>
      <w:r w:rsidR="00233A17" w:rsidRPr="00FA704E">
        <w:t>ecision</w:t>
      </w:r>
      <w:r w:rsidR="00F97715" w:rsidRPr="00FA704E">
        <w:t>s are</w:t>
      </w:r>
      <w:r w:rsidR="00233A17" w:rsidRPr="00FA704E">
        <w:t xml:space="preserve"> an unlawful attempt to overrule by decree the legitimate determination reached by the democratically elected representatives of BiH’s citizens through the prescribed legislative process</w:t>
      </w:r>
      <w:r w:rsidR="006D1F4C">
        <w:t>.</w:t>
      </w:r>
    </w:p>
    <w:p w:rsidR="0045218D" w:rsidRPr="00FA704E" w:rsidRDefault="0089549B" w:rsidP="00DF33C3">
      <w:pPr>
        <w:pStyle w:val="NumberedParagraphs"/>
      </w:pPr>
      <w:r w:rsidRPr="00FA704E">
        <w:t xml:space="preserve">Pursuant to the </w:t>
      </w:r>
      <w:r w:rsidR="00233A17" w:rsidRPr="00FA704E">
        <w:t xml:space="preserve">imposed </w:t>
      </w:r>
      <w:r w:rsidRPr="00FA704E">
        <w:t xml:space="preserve">Law on Court of Bosnia and Herzegovina and the Law on the Prosecutor's Office of Bosnia and Herzegovina, foreigners were allowed to </w:t>
      </w:r>
      <w:r w:rsidR="0045218D" w:rsidRPr="00FA704E">
        <w:t>work</w:t>
      </w:r>
      <w:r w:rsidRPr="00FA704E">
        <w:t xml:space="preserve"> as judges and prosecutors </w:t>
      </w:r>
      <w:r w:rsidR="0045218D" w:rsidRPr="00FA704E">
        <w:t xml:space="preserve">in the BiH Court and Prosecutor’s Office, </w:t>
      </w:r>
      <w:r w:rsidRPr="00FA704E">
        <w:t>during a five-year “transitional period”</w:t>
      </w:r>
      <w:r w:rsidR="0045218D" w:rsidRPr="00FA704E">
        <w:t xml:space="preserve"> </w:t>
      </w:r>
      <w:r w:rsidRPr="00FA704E">
        <w:t xml:space="preserve">ending </w:t>
      </w:r>
      <w:r w:rsidR="00233A17" w:rsidRPr="00FA704E">
        <w:t xml:space="preserve">in </w:t>
      </w:r>
      <w:r w:rsidRPr="00FA704E">
        <w:t>December 2009.</w:t>
      </w:r>
      <w:r w:rsidRPr="00FA704E">
        <w:rPr>
          <w:rStyle w:val="FootnoteReference"/>
        </w:rPr>
        <w:footnoteReference w:id="2"/>
      </w:r>
      <w:r w:rsidRPr="00FA704E">
        <w:t xml:space="preserve">  </w:t>
      </w:r>
      <w:r w:rsidR="00233A17" w:rsidRPr="00FA704E">
        <w:t xml:space="preserve">In </w:t>
      </w:r>
      <w:r w:rsidR="003C4667" w:rsidRPr="00FA704E">
        <w:t>October</w:t>
      </w:r>
      <w:r w:rsidR="00233A17" w:rsidRPr="00FA704E">
        <w:t xml:space="preserve"> </w:t>
      </w:r>
      <w:r w:rsidR="003C4667" w:rsidRPr="00FA704E">
        <w:t>2009, t</w:t>
      </w:r>
      <w:r w:rsidR="001B1D79" w:rsidRPr="00FA704E">
        <w:t>he BiH Parliamentary Assembly</w:t>
      </w:r>
      <w:r w:rsidR="003C4667" w:rsidRPr="00FA704E">
        <w:t xml:space="preserve">, pursuant to its </w:t>
      </w:r>
      <w:r w:rsidR="0045218D" w:rsidRPr="00FA704E">
        <w:t>c</w:t>
      </w:r>
      <w:r w:rsidR="003C4667" w:rsidRPr="00FA704E">
        <w:t>onstitutional authority and procedure,</w:t>
      </w:r>
      <w:r w:rsidR="001B1D79" w:rsidRPr="00FA704E">
        <w:t xml:space="preserve"> voted to reject amending the law to extend the </w:t>
      </w:r>
      <w:r w:rsidR="00DF33C3" w:rsidRPr="00FA704E">
        <w:t>transitional period</w:t>
      </w:r>
      <w:r w:rsidR="001B1D79" w:rsidRPr="00FA704E">
        <w:t xml:space="preserve"> of these foreign prosecutors and judges.</w:t>
      </w:r>
      <w:r w:rsidR="003C4667" w:rsidRPr="00FA704E">
        <w:t xml:space="preserve">   </w:t>
      </w:r>
      <w:r w:rsidR="00DF33C3" w:rsidRPr="00FA704E">
        <w:t xml:space="preserve">For reasons set forth below, the elected representatives of BiH had sound policy reasons for not amending the law.  </w:t>
      </w:r>
    </w:p>
    <w:p w:rsidR="00543871" w:rsidRPr="00FA704E" w:rsidRDefault="00835518" w:rsidP="00B12B4B">
      <w:pPr>
        <w:pStyle w:val="NumberedParagraphs"/>
      </w:pPr>
      <w:r w:rsidRPr="00FA704E">
        <w:t xml:space="preserve">In addition to </w:t>
      </w:r>
      <w:r w:rsidR="000F3768" w:rsidRPr="00FA704E">
        <w:t>legal and constitutional provisions</w:t>
      </w:r>
      <w:r w:rsidRPr="00FA704E">
        <w:t xml:space="preserve">, the Government is further bound by the position of the </w:t>
      </w:r>
      <w:r w:rsidR="003C0044" w:rsidRPr="00FA704E">
        <w:t>R</w:t>
      </w:r>
      <w:r w:rsidR="00726DD0" w:rsidRPr="00FA704E">
        <w:t xml:space="preserve">epublika </w:t>
      </w:r>
      <w:r w:rsidR="003C0044" w:rsidRPr="00FA704E">
        <w:t>S</w:t>
      </w:r>
      <w:r w:rsidR="00726DD0" w:rsidRPr="00FA704E">
        <w:t>rpska</w:t>
      </w:r>
      <w:r w:rsidRPr="00FA704E">
        <w:t xml:space="preserve"> National Assembly as </w:t>
      </w:r>
      <w:r w:rsidR="00F975FF" w:rsidRPr="00FA704E">
        <w:t>set forth</w:t>
      </w:r>
      <w:r w:rsidR="00585BCA">
        <w:t xml:space="preserve"> in its C</w:t>
      </w:r>
      <w:r w:rsidRPr="00FA704E">
        <w:t>onclusions of 1 October 2009: "</w:t>
      </w:r>
      <w:r w:rsidR="003A19DA" w:rsidRPr="00FA704E">
        <w:t xml:space="preserve">The </w:t>
      </w:r>
      <w:r w:rsidR="003C0044" w:rsidRPr="00FA704E">
        <w:t>RS</w:t>
      </w:r>
      <w:r w:rsidR="003A19DA" w:rsidRPr="00FA704E">
        <w:t xml:space="preserve"> National Assembly hereby expresses its full support to the position and conclusions expressed by the RS President and RS Prime Minister in their statements before the National Assembly at its 19</w:t>
      </w:r>
      <w:r w:rsidR="003A19DA" w:rsidRPr="00FA704E">
        <w:rPr>
          <w:vertAlign w:val="superscript"/>
        </w:rPr>
        <w:t>th</w:t>
      </w:r>
      <w:r w:rsidR="003A19DA" w:rsidRPr="00FA704E">
        <w:t xml:space="preserve"> special session on the occasion of the Report on</w:t>
      </w:r>
      <w:r w:rsidR="00F975FF" w:rsidRPr="00FA704E">
        <w:t xml:space="preserve"> the</w:t>
      </w:r>
      <w:r w:rsidR="003A19DA" w:rsidRPr="00FA704E">
        <w:t xml:space="preserve"> legislation the High Representative to Bosnia and Herzegovina attempted to impose on 18 September 2009; specifically, in case the High Representative continues </w:t>
      </w:r>
      <w:r w:rsidR="00015540" w:rsidRPr="00FA704E">
        <w:t>to seek</w:t>
      </w:r>
      <w:r w:rsidR="00F41483">
        <w:t xml:space="preserve"> to impose and enforce</w:t>
      </w:r>
      <w:r w:rsidR="003A19DA" w:rsidRPr="00FA704E">
        <w:t xml:space="preserve"> said legislation, the RS National Assembly shall consult the public</w:t>
      </w:r>
      <w:r w:rsidR="00095005" w:rsidRPr="00FA704E">
        <w:t>.</w:t>
      </w:r>
      <w:r w:rsidR="003A19DA" w:rsidRPr="00FA704E">
        <w:t xml:space="preserve"> Should such circumstances occur, all RS representatives to the BiH joint institutions shall </w:t>
      </w:r>
      <w:r w:rsidR="009210BD" w:rsidRPr="00FA704E">
        <w:t>no longer take part in the</w:t>
      </w:r>
      <w:r w:rsidR="003A19DA" w:rsidRPr="00FA704E">
        <w:t xml:space="preserve"> work </w:t>
      </w:r>
      <w:r w:rsidR="00F975FF" w:rsidRPr="00FA704E">
        <w:t>thereof</w:t>
      </w:r>
      <w:r w:rsidR="003A19DA" w:rsidRPr="00FA704E">
        <w:t xml:space="preserve"> </w:t>
      </w:r>
      <w:r w:rsidR="00F975FF" w:rsidRPr="00FA704E">
        <w:t>as</w:t>
      </w:r>
      <w:r w:rsidR="003A19DA" w:rsidRPr="00FA704E">
        <w:t xml:space="preserve"> they cannot </w:t>
      </w:r>
      <w:r w:rsidR="00015540" w:rsidRPr="00FA704E">
        <w:t>give their support to</w:t>
      </w:r>
      <w:r w:rsidR="003A19DA" w:rsidRPr="00FA704E">
        <w:t xml:space="preserve"> </w:t>
      </w:r>
      <w:r w:rsidR="00F41483">
        <w:t>BiH</w:t>
      </w:r>
      <w:r w:rsidR="003A19DA" w:rsidRPr="00FA704E">
        <w:t xml:space="preserve"> </w:t>
      </w:r>
      <w:r w:rsidR="00015540" w:rsidRPr="00FA704E">
        <w:t>being</w:t>
      </w:r>
      <w:r w:rsidR="003A19DA" w:rsidRPr="00FA704E">
        <w:t xml:space="preserve"> governed by unlawful OHR authority and those who support it.</w:t>
      </w:r>
      <w:r w:rsidR="00F41483">
        <w:t>”</w:t>
      </w:r>
    </w:p>
    <w:p w:rsidR="004F40FC" w:rsidRPr="004F40FC" w:rsidRDefault="00C21DB9" w:rsidP="004F40FC">
      <w:pPr>
        <w:pStyle w:val="NumberedParagraphs"/>
        <w:numPr>
          <w:ilvl w:val="0"/>
          <w:numId w:val="0"/>
        </w:numPr>
        <w:rPr>
          <w:b/>
          <w:u w:val="single"/>
        </w:rPr>
      </w:pPr>
      <w:r>
        <w:rPr>
          <w:b/>
          <w:iCs/>
          <w:u w:val="single"/>
        </w:rPr>
        <w:t xml:space="preserve">Rejection of </w:t>
      </w:r>
      <w:r w:rsidR="004F40FC" w:rsidRPr="004F40FC">
        <w:rPr>
          <w:b/>
          <w:iCs/>
          <w:u w:val="single"/>
        </w:rPr>
        <w:t>Contin</w:t>
      </w:r>
      <w:r>
        <w:rPr>
          <w:b/>
          <w:iCs/>
          <w:u w:val="single"/>
        </w:rPr>
        <w:t xml:space="preserve">uing </w:t>
      </w:r>
      <w:r w:rsidR="004F40FC" w:rsidRPr="004F40FC">
        <w:rPr>
          <w:b/>
          <w:iCs/>
          <w:u w:val="single"/>
        </w:rPr>
        <w:t xml:space="preserve">Foreign Judges and Prosecutors </w:t>
      </w:r>
      <w:r>
        <w:rPr>
          <w:b/>
          <w:iCs/>
          <w:u w:val="single"/>
        </w:rPr>
        <w:t>Is Sound</w:t>
      </w:r>
      <w:r w:rsidR="004F40FC" w:rsidRPr="004F40FC">
        <w:rPr>
          <w:b/>
          <w:iCs/>
          <w:u w:val="single"/>
        </w:rPr>
        <w:t xml:space="preserve"> Policy</w:t>
      </w:r>
    </w:p>
    <w:p w:rsidR="006F6BC0" w:rsidRPr="00274627" w:rsidRDefault="006F6BC0" w:rsidP="006F6BC0">
      <w:pPr>
        <w:pStyle w:val="NumberedParagraphs"/>
      </w:pPr>
      <w:r w:rsidRPr="00274627">
        <w:t xml:space="preserve">The appointment of foreign personnel as officials in </w:t>
      </w:r>
      <w:r>
        <w:t>BiH’s</w:t>
      </w:r>
      <w:r w:rsidRPr="00274627">
        <w:t xml:space="preserve"> institutions is not consistent with a return to constitutional government and the rule of law.  Under </w:t>
      </w:r>
      <w:r>
        <w:t>BiH’s</w:t>
      </w:r>
      <w:r w:rsidRPr="00274627">
        <w:t xml:space="preserve"> Constitution, except for three judges of the </w:t>
      </w:r>
      <w:smartTag w:uri="urn:schemas-microsoft-com:office:smarttags" w:element="Street">
        <w:smartTag w:uri="urn:schemas-microsoft-com:office:smarttags" w:element="address">
          <w:r w:rsidRPr="00274627">
            <w:t>Constitutional Court</w:t>
          </w:r>
        </w:smartTag>
      </w:smartTag>
      <w:r w:rsidRPr="00274627">
        <w:t xml:space="preserve">, there are no provisions for foreigners to serve as officials in </w:t>
      </w:r>
      <w:r>
        <w:t>BiH’s</w:t>
      </w:r>
      <w:r w:rsidRPr="00274627">
        <w:t xml:space="preserve"> institutions.</w:t>
      </w:r>
      <w:r w:rsidRPr="00274627">
        <w:rPr>
          <w:rStyle w:val="FootnoteReference"/>
        </w:rPr>
        <w:footnoteReference w:id="3"/>
      </w:r>
      <w:r w:rsidRPr="00274627">
        <w:t xml:space="preserve">  However, </w:t>
      </w:r>
      <w:r w:rsidR="004F40FC">
        <w:t xml:space="preserve">originating through decrees of the High Representative, the laws of BiH were </w:t>
      </w:r>
      <w:r w:rsidR="002B5A57">
        <w:t xml:space="preserve">imposed and </w:t>
      </w:r>
      <w:r w:rsidR="004F40FC">
        <w:t xml:space="preserve">changed to provide for </w:t>
      </w:r>
      <w:r w:rsidRPr="00274627">
        <w:t>foreign</w:t>
      </w:r>
      <w:r w:rsidR="004F40FC">
        <w:t>ers</w:t>
      </w:r>
      <w:r w:rsidRPr="00274627">
        <w:t xml:space="preserve"> </w:t>
      </w:r>
      <w:r w:rsidR="004F40FC">
        <w:t xml:space="preserve">to act as judges and prosecutors </w:t>
      </w:r>
      <w:r w:rsidRPr="00274627">
        <w:t xml:space="preserve">in </w:t>
      </w:r>
      <w:r>
        <w:t>BiH’s</w:t>
      </w:r>
      <w:r w:rsidRPr="00274627">
        <w:t xml:space="preserve"> Court and Prosecutor's Office</w:t>
      </w:r>
      <w:r w:rsidR="004F40FC">
        <w:t>.</w:t>
      </w:r>
      <w:r w:rsidR="00EF775D">
        <w:rPr>
          <w:rStyle w:val="FootnoteReference"/>
        </w:rPr>
        <w:footnoteReference w:id="4"/>
      </w:r>
      <w:r w:rsidR="004F40FC">
        <w:t xml:space="preserve">  Over time, more and more foreigners were emplaced.  By the end of 2009, </w:t>
      </w:r>
      <w:r w:rsidR="00C21DB9">
        <w:t xml:space="preserve">for example, </w:t>
      </w:r>
      <w:r w:rsidR="004F40FC">
        <w:t>n</w:t>
      </w:r>
      <w:r w:rsidRPr="00274627">
        <w:t>early half of the prosecutors in the section of the Prosecutor's Office for Organized Crime, Economic Crime and Corruption are foreigners, including the Deputy Prosecutor who heads that section.</w:t>
      </w:r>
      <w:r w:rsidRPr="00274627">
        <w:rPr>
          <w:rStyle w:val="FootnoteReference"/>
        </w:rPr>
        <w:footnoteReference w:id="5"/>
      </w:r>
      <w:r w:rsidRPr="00274627">
        <w:t xml:space="preserve">  Most of these officials were originally appointed by decision of the High Representative.</w:t>
      </w:r>
      <w:r w:rsidRPr="00274627">
        <w:rPr>
          <w:rStyle w:val="FootnoteReference"/>
        </w:rPr>
        <w:footnoteReference w:id="6"/>
      </w:r>
      <w:r w:rsidRPr="00274627">
        <w:t xml:space="preserve">  </w:t>
      </w:r>
    </w:p>
    <w:p w:rsidR="006F6BC0" w:rsidRPr="00FA704E" w:rsidRDefault="006F6BC0" w:rsidP="006F6BC0">
      <w:pPr>
        <w:pStyle w:val="NumberedParagraphs"/>
      </w:pPr>
      <w:r w:rsidRPr="00274627">
        <w:t xml:space="preserve">These foreign judges and prosecutors </w:t>
      </w:r>
      <w:r w:rsidR="004F40FC">
        <w:t>have been</w:t>
      </w:r>
      <w:r w:rsidRPr="00274627">
        <w:t xml:space="preserve"> free from the accountability properly imposed on </w:t>
      </w:r>
      <w:r>
        <w:t>BiH</w:t>
      </w:r>
      <w:r w:rsidRPr="00274627">
        <w:t xml:space="preserve"> citizens who serve in the same positions.  They </w:t>
      </w:r>
      <w:r w:rsidR="004F40FC">
        <w:t>were</w:t>
      </w:r>
      <w:r w:rsidRPr="00274627">
        <w:t xml:space="preserve"> granted immunity from criminal and civil liability</w:t>
      </w:r>
      <w:r w:rsidRPr="00274627">
        <w:rPr>
          <w:rStyle w:val="FootnoteReference"/>
        </w:rPr>
        <w:footnoteReference w:id="7"/>
      </w:r>
      <w:r w:rsidRPr="00274627">
        <w:t xml:space="preserve"> at the same level as diplomats under the Vienna Convention on Diplomatic Relations.</w:t>
      </w:r>
      <w:r w:rsidRPr="00274627">
        <w:rPr>
          <w:rStyle w:val="FootnoteReference"/>
        </w:rPr>
        <w:footnoteReference w:id="8"/>
      </w:r>
      <w:r w:rsidRPr="00274627">
        <w:t xml:space="preserve">  Granting such immunity to judges and prosecutors is contrary to fundamental principles of the rule of law and democratic governance.  Unlike diplomats, judges and prosecutors exercise considerable authority and discretion over citizens of </w:t>
      </w:r>
      <w:r>
        <w:t>BiH</w:t>
      </w:r>
      <w:r w:rsidRPr="00274627">
        <w:t xml:space="preserve">, including authority to apprehend, prosecute and incarcerate.  Such authority and discretion in any jurisdiction can be abused if not checked by mechanisms of accountability.  But there </w:t>
      </w:r>
      <w:r w:rsidR="004F40FC">
        <w:t>has been</w:t>
      </w:r>
      <w:r w:rsidRPr="00274627">
        <w:t xml:space="preserve"> no accountability for foreign judges and prosecutors in </w:t>
      </w:r>
      <w:r w:rsidRPr="00FA704E">
        <w:t>BiH</w:t>
      </w:r>
      <w:r w:rsidR="00AD38B6" w:rsidRPr="00FA704E">
        <w:t xml:space="preserve">, which is another argument </w:t>
      </w:r>
      <w:r w:rsidR="00726DD0" w:rsidRPr="00FA704E">
        <w:t>for</w:t>
      </w:r>
      <w:r w:rsidR="00AD38B6" w:rsidRPr="00FA704E">
        <w:t xml:space="preserve"> terminat</w:t>
      </w:r>
      <w:r w:rsidR="00726DD0" w:rsidRPr="00FA704E">
        <w:t>ing</w:t>
      </w:r>
      <w:r w:rsidR="00AD38B6" w:rsidRPr="00FA704E">
        <w:t xml:space="preserve"> their work </w:t>
      </w:r>
      <w:r w:rsidR="00F41483">
        <w:t>upon the expiration of</w:t>
      </w:r>
      <w:r w:rsidR="00AD38B6" w:rsidRPr="00FA704E">
        <w:t xml:space="preserve"> their five-year mandate.</w:t>
      </w:r>
      <w:r w:rsidRPr="00FA704E">
        <w:t xml:space="preserve">  </w:t>
      </w:r>
    </w:p>
    <w:p w:rsidR="006F6BC0" w:rsidRPr="00FA704E" w:rsidRDefault="006F6BC0" w:rsidP="006F6BC0">
      <w:pPr>
        <w:pStyle w:val="NumberedParagraphs"/>
      </w:pPr>
      <w:r w:rsidRPr="00FA704E">
        <w:t xml:space="preserve">This arrangement </w:t>
      </w:r>
      <w:r w:rsidR="00AD38B6" w:rsidRPr="00FA704E">
        <w:t xml:space="preserve">with foreign prosecutors and judges </w:t>
      </w:r>
      <w:r w:rsidRPr="00FA704E">
        <w:t>has resulted in political manipulation of the criminal justice system</w:t>
      </w:r>
      <w:r w:rsidR="00AD38B6" w:rsidRPr="00FA704E">
        <w:t xml:space="preserve"> in cases conducted before those institutions, be it because of their selective approach to war crimes or </w:t>
      </w:r>
      <w:r w:rsidR="00EF43F1" w:rsidRPr="00851989">
        <w:t>pursuit</w:t>
      </w:r>
      <w:r w:rsidR="00AD38B6" w:rsidRPr="00FA704E">
        <w:t xml:space="preserve"> of elected officials</w:t>
      </w:r>
      <w:r w:rsidR="00726DD0" w:rsidRPr="00FA704E">
        <w:t>--</w:t>
      </w:r>
      <w:r w:rsidR="00AD38B6" w:rsidRPr="00FA704E">
        <w:t>mainly Serbs and Croats</w:t>
      </w:r>
      <w:r w:rsidRPr="00FA704E">
        <w:t xml:space="preserve">.  </w:t>
      </w:r>
      <w:r w:rsidR="0084078F" w:rsidRPr="00FA704E">
        <w:t xml:space="preserve">The decision issued by the Head of the War Crimes Department within the BiH Prosecutor's Office, David Schwendiman, at the very end of his mandate, to stop the investigation of war crimes committed against Serbs at the beginning of the war – the </w:t>
      </w:r>
      <w:r w:rsidR="0084078F" w:rsidRPr="00FA704E">
        <w:rPr>
          <w:i/>
        </w:rPr>
        <w:t xml:space="preserve">Tuzla </w:t>
      </w:r>
      <w:r w:rsidR="008631BD" w:rsidRPr="00FA704E">
        <w:rPr>
          <w:i/>
        </w:rPr>
        <w:t>column</w:t>
      </w:r>
      <w:r w:rsidR="0084078F" w:rsidRPr="00FA704E">
        <w:t xml:space="preserve"> and </w:t>
      </w:r>
      <w:r w:rsidR="0084078F" w:rsidRPr="00FA704E">
        <w:rPr>
          <w:i/>
        </w:rPr>
        <w:t>Bradina</w:t>
      </w:r>
      <w:r w:rsidR="0084078F" w:rsidRPr="00FA704E">
        <w:t xml:space="preserve"> case – is definitive proof that the unconstitutional judicial institutions at the level of </w:t>
      </w:r>
      <w:r w:rsidR="00726DD0" w:rsidRPr="00FA704E">
        <w:t>BiH</w:t>
      </w:r>
      <w:r w:rsidR="0084078F" w:rsidRPr="00FA704E">
        <w:t xml:space="preserve"> do not serve </w:t>
      </w:r>
      <w:r w:rsidR="005D27E5" w:rsidRPr="00FA704E">
        <w:t xml:space="preserve">to </w:t>
      </w:r>
      <w:r w:rsidR="00543EF5" w:rsidRPr="00FA704E">
        <w:t>enforce</w:t>
      </w:r>
      <w:r w:rsidR="005D27E5" w:rsidRPr="00FA704E">
        <w:t xml:space="preserve"> </w:t>
      </w:r>
      <w:r w:rsidR="0084078F" w:rsidRPr="00FA704E">
        <w:t xml:space="preserve">law and justice but to determine the character of the war by </w:t>
      </w:r>
      <w:r w:rsidR="00A45954" w:rsidRPr="00FA704E">
        <w:t>prosecuting</w:t>
      </w:r>
      <w:r w:rsidR="0084078F" w:rsidRPr="00FA704E">
        <w:t xml:space="preserve"> and trying Serbs and Croats. </w:t>
      </w:r>
      <w:r w:rsidRPr="00FA704E">
        <w:t xml:space="preserve">Foreign judges </w:t>
      </w:r>
      <w:r w:rsidR="00C21DB9" w:rsidRPr="00FA704E">
        <w:t xml:space="preserve">and prosecutors </w:t>
      </w:r>
      <w:r w:rsidRPr="00FA704E">
        <w:t>in BiH</w:t>
      </w:r>
      <w:r w:rsidR="005920CA" w:rsidRPr="00FA704E">
        <w:t xml:space="preserve"> have</w:t>
      </w:r>
      <w:r w:rsidRPr="00FA704E">
        <w:t xml:space="preserve"> strong incentives to obey the OHR and other foreign officials who have been involved in setting their terms of work and compensation.  Such criminal justice system abuses have been the subject of </w:t>
      </w:r>
      <w:r w:rsidR="005920CA" w:rsidRPr="00FA704E">
        <w:t xml:space="preserve">official </w:t>
      </w:r>
      <w:r w:rsidRPr="00FA704E">
        <w:t>inquiries</w:t>
      </w:r>
      <w:r w:rsidR="004F40FC" w:rsidRPr="00FA704E">
        <w:t>.</w:t>
      </w:r>
      <w:r w:rsidRPr="00FA704E">
        <w:t xml:space="preserve">  </w:t>
      </w:r>
    </w:p>
    <w:p w:rsidR="006F6BC0" w:rsidRPr="00FA704E" w:rsidRDefault="00C21DB9" w:rsidP="00C21DB9">
      <w:pPr>
        <w:pStyle w:val="NumberedParagraphs"/>
      </w:pPr>
      <w:r w:rsidRPr="00FA704E">
        <w:t xml:space="preserve">When the issue of extending the mandate of foreigners was put before the BiH Parliamentary Assembly, after assessment and deliberation, the elected officials exercised their constitutional authority and voted </w:t>
      </w:r>
      <w:r w:rsidR="005920CA" w:rsidRPr="00FA704E">
        <w:t>against extending the mandate</w:t>
      </w:r>
      <w:r w:rsidR="00DD1C6C" w:rsidRPr="00FA704E">
        <w:t xml:space="preserve">. </w:t>
      </w:r>
      <w:r w:rsidR="00DD5854" w:rsidRPr="00FA704E">
        <w:t>T</w:t>
      </w:r>
      <w:r w:rsidR="00726DD0" w:rsidRPr="00FA704E">
        <w:t>erminating</w:t>
      </w:r>
      <w:r w:rsidR="00DD5854" w:rsidRPr="00FA704E">
        <w:t xml:space="preserve"> the work of foreign prosecutors and judges </w:t>
      </w:r>
      <w:r w:rsidR="00726DD0" w:rsidRPr="00FA704E">
        <w:t xml:space="preserve">was a </w:t>
      </w:r>
      <w:r w:rsidR="00DD5854" w:rsidRPr="00FA704E">
        <w:t xml:space="preserve">first step towards </w:t>
      </w:r>
      <w:r w:rsidRPr="00FA704E">
        <w:t>restor</w:t>
      </w:r>
      <w:r w:rsidR="00DD5854" w:rsidRPr="00FA704E">
        <w:t>ing</w:t>
      </w:r>
      <w:r w:rsidRPr="00FA704E">
        <w:t xml:space="preserve"> independence to the judiciary and </w:t>
      </w:r>
      <w:r w:rsidR="005920CA" w:rsidRPr="00FA704E">
        <w:t xml:space="preserve">constitutional and legal accountability of the judiciary to </w:t>
      </w:r>
      <w:r w:rsidRPr="00FA704E">
        <w:t xml:space="preserve">BiH citizens. </w:t>
      </w:r>
      <w:r w:rsidR="006F6BC0" w:rsidRPr="00FA704E">
        <w:t xml:space="preserve">A renewal of their mandate </w:t>
      </w:r>
      <w:r w:rsidR="00726DD0" w:rsidRPr="00FA704E">
        <w:t>would have been</w:t>
      </w:r>
      <w:r w:rsidRPr="00FA704E">
        <w:t xml:space="preserve"> </w:t>
      </w:r>
      <w:r w:rsidR="006F6BC0" w:rsidRPr="00FA704E">
        <w:t xml:space="preserve">a giant step back for </w:t>
      </w:r>
      <w:r w:rsidR="000332BD" w:rsidRPr="00FA704E">
        <w:t xml:space="preserve">the principle of </w:t>
      </w:r>
      <w:r w:rsidR="006F6BC0" w:rsidRPr="00FA704E">
        <w:t>constitutional government and the rule of law in BiH.</w:t>
      </w:r>
      <w:r w:rsidRPr="00FA704E">
        <w:t xml:space="preserve">  Certainly, the attempt to do so through a decree of the High Representative in defiance of the Parliamentary Assembly is an affront to these principles.</w:t>
      </w:r>
    </w:p>
    <w:p w:rsidR="00C21DB9" w:rsidRPr="00FA704E" w:rsidRDefault="00C21DB9" w:rsidP="00732CE9">
      <w:pPr>
        <w:pStyle w:val="NumberedParagraphs"/>
        <w:keepNext/>
        <w:numPr>
          <w:ilvl w:val="0"/>
          <w:numId w:val="0"/>
        </w:numPr>
        <w:rPr>
          <w:b/>
          <w:u w:val="single"/>
        </w:rPr>
      </w:pPr>
      <w:r w:rsidRPr="00FA704E">
        <w:rPr>
          <w:b/>
          <w:u w:val="single"/>
        </w:rPr>
        <w:t xml:space="preserve">Legal Obligations of the Government </w:t>
      </w:r>
    </w:p>
    <w:p w:rsidR="00C21DB9" w:rsidRPr="00FA704E" w:rsidRDefault="00C21DB9" w:rsidP="00732CE9">
      <w:pPr>
        <w:pStyle w:val="NumberedParagraphs"/>
        <w:keepNext/>
      </w:pPr>
      <w:r w:rsidRPr="00FA704E">
        <w:t xml:space="preserve">Article I, paragraph 2 of the BiH Constitution requires that the Government </w:t>
      </w:r>
      <w:r w:rsidR="00726DD0" w:rsidRPr="00FA704E">
        <w:t xml:space="preserve">be </w:t>
      </w:r>
      <w:r w:rsidR="00E96DB6" w:rsidRPr="00FA704E">
        <w:t xml:space="preserve">established on the basis of free and democratic elections and that it </w:t>
      </w:r>
      <w:r w:rsidRPr="00FA704E">
        <w:t>must conduct its affairs according to the rule of law. When the High Representative issues decisions and orders that violate provisions of BiH domestic and international law the Government must base its response to such decisions and orders upon the applicable law.</w:t>
      </w:r>
      <w:r w:rsidRPr="00FA704E">
        <w:rPr>
          <w:rStyle w:val="FootnoteReference"/>
        </w:rPr>
        <w:footnoteReference w:id="9"/>
      </w:r>
    </w:p>
    <w:p w:rsidR="00C21DB9" w:rsidRPr="00FA704E" w:rsidRDefault="00C21DB9" w:rsidP="00C21DB9">
      <w:pPr>
        <w:pStyle w:val="NumberedParagraphs"/>
      </w:pPr>
      <w:r w:rsidRPr="00FA704E">
        <w:t xml:space="preserve">In determining the applicable law, a sovereign state and its agencies and instrumentalities must first look to the constitution of the state and, in the case of Republika Srpska, the BiH Constitution and the Constitution of Republika Srpska. Next, the government must look to any applicable international obligations imposed upon BiH and/or the Entities by international law. Of first importance in this respect, are applicable treaties. Those most directly concerned with orders of the High Representative would be the Dayton Peace Accords and the human, political, and civil rights treaties specified in Annex 6 of the Dayton Peace Accords. </w:t>
      </w:r>
    </w:p>
    <w:p w:rsidR="00C21DB9" w:rsidRPr="00FA704E" w:rsidRDefault="00C21DB9" w:rsidP="00C21DB9">
      <w:pPr>
        <w:pStyle w:val="NumberedParagraphs"/>
      </w:pPr>
      <w:r w:rsidRPr="00FA704E">
        <w:t>It is of considerable importance from a legal hierarchy standpoint to recognize that Article II of the BiH Constitution in paragraph 2 adopts as domestic law the rights and freedoms set forth in the European Convention for the Protection of Human Rights and Fundamental Freedoms and its Protocols (“European Convention”). Paragraph 2 states that these shall have priority over all other domestic law. Paragraph 3 enumerates other rights, including many of those incorporated in the European Convention. Paragraph 6 of Article II requires that all courts, agencies, governmental organs and instrumentalities operated by or within the Entities shall apply and conform to the human rights and fundamental freed</w:t>
      </w:r>
      <w:r w:rsidR="00370643" w:rsidRPr="00FA704E">
        <w:t>oms referred to in paragraph 2</w:t>
      </w:r>
      <w:r w:rsidRPr="00FA704E">
        <w:t xml:space="preserve">. </w:t>
      </w:r>
    </w:p>
    <w:p w:rsidR="00C21DB9" w:rsidRPr="00FA704E" w:rsidRDefault="00C21DB9" w:rsidP="00C21DB9">
      <w:pPr>
        <w:pStyle w:val="NumberedParagraphs"/>
      </w:pPr>
      <w:r w:rsidRPr="00FA704E">
        <w:t xml:space="preserve">Article III, paragraph 3(b) specifies that "The general principles of international law shall be an integral part of the law of </w:t>
      </w:r>
      <w:smartTag w:uri="urn:schemas-microsoft-com:office:smarttags" w:element="country-region">
        <w:smartTag w:uri="urn:schemas-microsoft-com:office:smarttags" w:element="place">
          <w:r w:rsidRPr="00FA704E">
            <w:t>Bosnia and Herzegovina</w:t>
          </w:r>
        </w:smartTag>
      </w:smartTag>
      <w:r w:rsidRPr="00FA704E">
        <w:t xml:space="preserve"> and the Entities." Among such principles of particular relevance to the relations between </w:t>
      </w:r>
      <w:r w:rsidR="002B5A57" w:rsidRPr="00FA704E">
        <w:t>t</w:t>
      </w:r>
      <w:r w:rsidRPr="00FA704E">
        <w:t xml:space="preserve">he High Representative and the Government and BiH are: </w:t>
      </w:r>
      <w:r w:rsidRPr="00FA704E">
        <w:rPr>
          <w:i/>
        </w:rPr>
        <w:t xml:space="preserve">pacta sunt servanda; </w:t>
      </w:r>
      <w:r w:rsidRPr="00FA704E">
        <w:t xml:space="preserve">obligation of good faith in both performance and interpretation of a treaty; </w:t>
      </w:r>
      <w:r w:rsidRPr="00FA704E">
        <w:rPr>
          <w:i/>
        </w:rPr>
        <w:t>ex injuria non oritur jus</w:t>
      </w:r>
      <w:r w:rsidRPr="00FA704E">
        <w:t>; non-intervention in internal affairs</w:t>
      </w:r>
      <w:r w:rsidR="00726DD0" w:rsidRPr="00FA704E">
        <w:t>,</w:t>
      </w:r>
      <w:r w:rsidRPr="00FA704E">
        <w:rPr>
          <w:rStyle w:val="FootnoteReference"/>
        </w:rPr>
        <w:footnoteReference w:id="10"/>
      </w:r>
      <w:r w:rsidR="00BF2054" w:rsidRPr="00FA704E">
        <w:t xml:space="preserve"> </w:t>
      </w:r>
      <w:r w:rsidR="000E511F" w:rsidRPr="00FA704E">
        <w:t xml:space="preserve">the latter </w:t>
      </w:r>
      <w:r w:rsidR="00F41483">
        <w:t xml:space="preserve">particularly </w:t>
      </w:r>
      <w:r w:rsidR="000E511F" w:rsidRPr="00FA704E">
        <w:t xml:space="preserve">having been </w:t>
      </w:r>
      <w:r w:rsidR="00F41483">
        <w:t>violated</w:t>
      </w:r>
      <w:r w:rsidR="00AD52F5" w:rsidRPr="00FA704E">
        <w:t xml:space="preserve"> </w:t>
      </w:r>
      <w:r w:rsidR="000E511F" w:rsidRPr="00FA704E">
        <w:t>by</w:t>
      </w:r>
      <w:r w:rsidR="00BF2054" w:rsidRPr="00FA704E">
        <w:t xml:space="preserve"> the High Representative</w:t>
      </w:r>
      <w:r w:rsidR="000E511F" w:rsidRPr="00FA704E">
        <w:t xml:space="preserve"> </w:t>
      </w:r>
      <w:r w:rsidR="00AD52F5" w:rsidRPr="00FA704E">
        <w:t>through</w:t>
      </w:r>
      <w:r w:rsidR="00BF2054" w:rsidRPr="00FA704E">
        <w:t xml:space="preserve"> his decision</w:t>
      </w:r>
      <w:r w:rsidR="00726DD0" w:rsidRPr="00FA704E">
        <w:t>s</w:t>
      </w:r>
      <w:r w:rsidR="00BF2054" w:rsidRPr="00FA704E">
        <w:t>.</w:t>
      </w:r>
    </w:p>
    <w:p w:rsidR="00C21DB9" w:rsidRPr="00FA704E" w:rsidRDefault="00C21DB9" w:rsidP="00C21DB9">
      <w:pPr>
        <w:pStyle w:val="NumberedParagraphs"/>
      </w:pPr>
      <w:r w:rsidRPr="00FA704E">
        <w:t xml:space="preserve">Also of considerable importance to the proper interpretation of the Government's legal responsibilities and duties are paragraphs 2 and 3 of Article I of the BiH Constitution. These articles state: </w:t>
      </w:r>
    </w:p>
    <w:p w:rsidR="00C21DB9" w:rsidRPr="00FA704E" w:rsidRDefault="00C21DB9" w:rsidP="00C21DB9">
      <w:pPr>
        <w:pStyle w:val="NumberedParagraphs"/>
        <w:numPr>
          <w:ilvl w:val="0"/>
          <w:numId w:val="0"/>
        </w:numPr>
        <w:ind w:left="720" w:right="720"/>
      </w:pPr>
      <w:r w:rsidRPr="00FA704E">
        <w:t xml:space="preserve">2. Democratic principles. </w:t>
      </w:r>
      <w:smartTag w:uri="urn:schemas-microsoft-com:office:smarttags" w:element="country-region">
        <w:smartTag w:uri="urn:schemas-microsoft-com:office:smarttags" w:element="place">
          <w:r w:rsidRPr="00FA704E">
            <w:t>Bosnia and Herzegovina</w:t>
          </w:r>
        </w:smartTag>
      </w:smartTag>
      <w:r w:rsidRPr="00FA704E">
        <w:t xml:space="preserve"> shall be a democratic state, </w:t>
      </w:r>
      <w:r w:rsidRPr="00FA704E">
        <w:br/>
        <w:t xml:space="preserve">which shall operate under the rule of law and with free democratic elections. </w:t>
      </w:r>
    </w:p>
    <w:p w:rsidR="00C21DB9" w:rsidRPr="00653381" w:rsidRDefault="00C21DB9" w:rsidP="00C21DB9">
      <w:pPr>
        <w:pStyle w:val="NumberedParagraphs"/>
        <w:numPr>
          <w:ilvl w:val="0"/>
          <w:numId w:val="0"/>
        </w:numPr>
        <w:ind w:left="720" w:right="720"/>
      </w:pPr>
      <w:r w:rsidRPr="00FA704E">
        <w:t>3. Composition</w:t>
      </w:r>
      <w:r w:rsidRPr="00FA704E">
        <w:rPr>
          <w:b/>
          <w:bCs/>
        </w:rPr>
        <w:t xml:space="preserve">. </w:t>
      </w:r>
      <w:smartTag w:uri="urn:schemas-microsoft-com:office:smarttags" w:element="country-region">
        <w:smartTag w:uri="urn:schemas-microsoft-com:office:smarttags" w:element="place">
          <w:r w:rsidRPr="00FA704E">
            <w:t>Bosnia and Herzeg</w:t>
          </w:r>
          <w:r w:rsidR="00732CE9" w:rsidRPr="00FA704E">
            <w:t>ov</w:t>
          </w:r>
          <w:r w:rsidRPr="00FA704E">
            <w:t>ina</w:t>
          </w:r>
        </w:smartTag>
      </w:smartTag>
      <w:r w:rsidRPr="00FA704E">
        <w:t xml:space="preserve"> shall consist of the two Entities, the </w:t>
      </w:r>
      <w:r w:rsidRPr="00FA704E">
        <w:br/>
        <w:t xml:space="preserve">Federation of Bosnia and </w:t>
      </w:r>
      <w:smartTag w:uri="urn:schemas-microsoft-com:office:smarttags" w:element="country-region">
        <w:smartTag w:uri="urn:schemas-microsoft-com:office:smarttags" w:element="place">
          <w:r w:rsidRPr="00FA704E">
            <w:t>Herzegovina</w:t>
          </w:r>
        </w:smartTag>
      </w:smartTag>
      <w:r w:rsidRPr="00FA704E">
        <w:t xml:space="preserve"> and the Republika Srpska (hereina</w:t>
      </w:r>
      <w:r w:rsidR="00732CE9" w:rsidRPr="00FA704E">
        <w:t xml:space="preserve">fter </w:t>
      </w:r>
      <w:r w:rsidR="00732CE9" w:rsidRPr="00FA704E">
        <w:br/>
        <w:t>“the Enti</w:t>
      </w:r>
      <w:r w:rsidRPr="00FA704E">
        <w:t>t</w:t>
      </w:r>
      <w:r w:rsidR="00732CE9" w:rsidRPr="00FA704E">
        <w:t>i</w:t>
      </w:r>
      <w:r w:rsidR="005920CA" w:rsidRPr="00FA704E">
        <w:t>es</w:t>
      </w:r>
      <w:r w:rsidRPr="00FA704E">
        <w:t>”).</w:t>
      </w:r>
      <w:r w:rsidRPr="00653381">
        <w:t xml:space="preserve"> </w:t>
      </w:r>
    </w:p>
    <w:p w:rsidR="00C21DB9" w:rsidRPr="00653381" w:rsidRDefault="00C21DB9" w:rsidP="00C21DB9">
      <w:pPr>
        <w:pStyle w:val="NumberedParagraphs"/>
      </w:pPr>
      <w:r w:rsidRPr="00653381">
        <w:t>Paragraph 2 requires that the Government operate according to the rule of law and mandates governance by democratically elected officials. Paragraph 3 recognizes the primacy of the t</w:t>
      </w:r>
      <w:r w:rsidR="00370643">
        <w:t>wo Entities--</w:t>
      </w:r>
      <w:r w:rsidRPr="00653381">
        <w:t>Republika Srpska and the Feder</w:t>
      </w:r>
      <w:r w:rsidR="005920CA">
        <w:t xml:space="preserve">ation of Bosnia and </w:t>
      </w:r>
      <w:smartTag w:uri="urn:schemas-microsoft-com:office:smarttags" w:element="country-region">
        <w:smartTag w:uri="urn:schemas-microsoft-com:office:smarttags" w:element="place">
          <w:r w:rsidR="005920CA">
            <w:t>Herzegovina</w:t>
          </w:r>
        </w:smartTag>
      </w:smartTag>
      <w:r w:rsidR="005920CA">
        <w:t>--</w:t>
      </w:r>
      <w:r w:rsidRPr="00653381">
        <w:t>as units of government.  These paragraphs establish that the Go</w:t>
      </w:r>
      <w:r w:rsidR="00370643">
        <w:t>vernment</w:t>
      </w:r>
      <w:r w:rsidRPr="00653381">
        <w:t>’s legal obligations under the BiH Constitution cannot be subordinate t</w:t>
      </w:r>
      <w:r w:rsidR="00370643">
        <w:t>o decisions and orders of a non</w:t>
      </w:r>
      <w:r w:rsidRPr="00653381">
        <w:t>-democratically elected foreign official, such as the High Representative</w:t>
      </w:r>
      <w:r w:rsidR="00370643">
        <w:t xml:space="preserve">, </w:t>
      </w:r>
      <w:r w:rsidRPr="00653381">
        <w:t>particularly when his orders do not conform to the rule of law</w:t>
      </w:r>
      <w:r>
        <w:t>,</w:t>
      </w:r>
      <w:r w:rsidRPr="00653381">
        <w:t xml:space="preserve"> including international </w:t>
      </w:r>
      <w:r w:rsidR="00370643">
        <w:t>law</w:t>
      </w:r>
      <w:r w:rsidRPr="00653381">
        <w:t xml:space="preserve">. </w:t>
      </w:r>
    </w:p>
    <w:p w:rsidR="00C21DB9" w:rsidRPr="00653381" w:rsidRDefault="00C21DB9" w:rsidP="00C21DB9">
      <w:pPr>
        <w:pStyle w:val="NumberedParagraphs"/>
      </w:pPr>
      <w:r w:rsidRPr="00653381">
        <w:t>The obligations of:</w:t>
      </w:r>
      <w:r w:rsidR="00370643">
        <w:t xml:space="preserve"> democratic governance</w:t>
      </w:r>
      <w:r w:rsidRPr="00653381">
        <w:t>; primacy of human, civil and political rights treaties and constitution</w:t>
      </w:r>
      <w:r w:rsidR="001B5F46">
        <w:t>al provisions; and rule of law-</w:t>
      </w:r>
      <w:r w:rsidRPr="00653381">
        <w:t xml:space="preserve">based governance in the BiH Constitution have particular force among the </w:t>
      </w:r>
      <w:r w:rsidR="00370643">
        <w:t>legal obligations of the Republika Srpska G</w:t>
      </w:r>
      <w:r w:rsidRPr="00653381">
        <w:t xml:space="preserve">overnment because they are among the central principles and agreements included in the Dayton Peace  </w:t>
      </w:r>
      <w:r w:rsidR="00370643">
        <w:t>Accords</w:t>
      </w:r>
      <w:r w:rsidRPr="00653381">
        <w:t xml:space="preserve">. The plain language of the Dayton </w:t>
      </w:r>
      <w:r w:rsidR="00370643">
        <w:t xml:space="preserve">Peace </w:t>
      </w:r>
      <w:r w:rsidRPr="00653381">
        <w:t>Accords and the inclusion of the above</w:t>
      </w:r>
      <w:r>
        <w:t xml:space="preserve"> stated obligations in the BiH C</w:t>
      </w:r>
      <w:r w:rsidRPr="00653381">
        <w:t xml:space="preserve">onstitution, which is Annex 4 of the Accords, give these obligations a foundational status among the international law obligations created by the Dayton </w:t>
      </w:r>
      <w:r w:rsidR="00370643">
        <w:t xml:space="preserve">Peace </w:t>
      </w:r>
      <w:r w:rsidRPr="00653381">
        <w:t>Acco</w:t>
      </w:r>
      <w:r w:rsidR="00370643">
        <w:t>rds. In the overall context of t</w:t>
      </w:r>
      <w:r w:rsidRPr="00653381">
        <w:t>he Accords these obligations must be</w:t>
      </w:r>
      <w:r>
        <w:t xml:space="preserve"> read to take precedence, in ca</w:t>
      </w:r>
      <w:r w:rsidRPr="00653381">
        <w:t xml:space="preserve">se of a conflict of obligations, over the obligation of cooperation with the party-appointed High Representative </w:t>
      </w:r>
      <w:r w:rsidR="001A0357" w:rsidRPr="00FA704E">
        <w:t>(Republika Srpska being one of the parties)</w:t>
      </w:r>
      <w:r w:rsidR="001A0357">
        <w:t xml:space="preserve"> </w:t>
      </w:r>
      <w:r w:rsidRPr="00653381">
        <w:t xml:space="preserve">provided for </w:t>
      </w:r>
      <w:r w:rsidR="00370643">
        <w:t>in Annex 10</w:t>
      </w:r>
      <w:r w:rsidRPr="00653381">
        <w:t xml:space="preserve">. </w:t>
      </w:r>
    </w:p>
    <w:p w:rsidR="00C21DB9" w:rsidRPr="00653381" w:rsidRDefault="00C21DB9" w:rsidP="00C21DB9">
      <w:pPr>
        <w:pStyle w:val="NumberedParagraphs"/>
      </w:pPr>
      <w:r w:rsidRPr="00653381">
        <w:t xml:space="preserve">Moreover, it is a principle of treaty interpretation that the provisions of a treaty should be read </w:t>
      </w:r>
      <w:r w:rsidR="00732CE9">
        <w:t xml:space="preserve">in their context so as </w:t>
      </w:r>
      <w:r w:rsidRPr="00653381">
        <w:t xml:space="preserve">to be internally consistent insofar as possible and to be consistent with the treaty’s object and purpose.   </w:t>
      </w:r>
      <w:r w:rsidR="00732CE9">
        <w:t>The circumstances of the treaty’s conclusion must also be taken into account.</w:t>
      </w:r>
      <w:r w:rsidR="00732CE9" w:rsidRPr="00653381">
        <w:rPr>
          <w:rStyle w:val="FootnoteReference"/>
        </w:rPr>
        <w:footnoteReference w:id="11"/>
      </w:r>
      <w:r w:rsidR="00732CE9">
        <w:t xml:space="preserve">  It is inconceivable that the treaty parties would have agreed to give the High Representative the powers he seeks to exercise in the </w:t>
      </w:r>
      <w:r w:rsidR="00C526AE">
        <w:t>d</w:t>
      </w:r>
      <w:r w:rsidR="00732CE9">
        <w:t>ecision</w:t>
      </w:r>
      <w:r w:rsidR="00C526AE">
        <w:t>s</w:t>
      </w:r>
      <w:r w:rsidR="00732CE9">
        <w:t xml:space="preserve"> at issue here.  </w:t>
      </w:r>
      <w:r w:rsidRPr="00653381">
        <w:t xml:space="preserve">Actions of the High Representative inconsistent with the primary obligations of </w:t>
      </w:r>
      <w:r w:rsidR="00370643">
        <w:t xml:space="preserve">the </w:t>
      </w:r>
      <w:r w:rsidRPr="00653381">
        <w:t xml:space="preserve">Dayton </w:t>
      </w:r>
      <w:r w:rsidR="00370643">
        <w:t xml:space="preserve">Peace Accords </w:t>
      </w:r>
      <w:r w:rsidRPr="00653381">
        <w:t xml:space="preserve">are therefore per se in excess of the High Representative’s legal authority.  </w:t>
      </w:r>
    </w:p>
    <w:p w:rsidR="00C21DB9" w:rsidRPr="00653381" w:rsidRDefault="00C21DB9" w:rsidP="00C21DB9">
      <w:pPr>
        <w:pStyle w:val="NumberedParagraphs"/>
      </w:pPr>
      <w:r w:rsidRPr="00653381">
        <w:t>In addition, the Government must take account of Article</w:t>
      </w:r>
      <w:r w:rsidR="00370643">
        <w:t xml:space="preserve"> III</w:t>
      </w:r>
      <w:r w:rsidR="001B5F46">
        <w:t>, paragraph 2</w:t>
      </w:r>
      <w:r>
        <w:t>(c) of the Bi</w:t>
      </w:r>
      <w:r w:rsidRPr="00653381">
        <w:t xml:space="preserve">H Constitution which assigns wide responsibilities to the Government to protect the fundamental human, civil and political rights and fundamental freedoms of BiH citizens, guaranteed by Article II of the BiH Constitution, as described above. </w:t>
      </w:r>
    </w:p>
    <w:p w:rsidR="00C21DB9" w:rsidRPr="00653381" w:rsidRDefault="00C21DB9" w:rsidP="00C21DB9">
      <w:pPr>
        <w:pStyle w:val="NumberedParagraphs"/>
      </w:pPr>
      <w:r w:rsidRPr="00653381">
        <w:t xml:space="preserve">Annex 10 </w:t>
      </w:r>
      <w:r>
        <w:t xml:space="preserve">of the Dayton Peace Accords, </w:t>
      </w:r>
      <w:r w:rsidRPr="00653381">
        <w:t>is the High Representative’s sole source of authority.  Annex 10 does not give the High Representative anything resembling the sweeping powers that the High Representative asserts, such as the authority to enact</w:t>
      </w:r>
      <w:r w:rsidR="005920CA">
        <w:t>, amend</w:t>
      </w:r>
      <w:r w:rsidRPr="00653381">
        <w:t xml:space="preserve"> and repeal laws</w:t>
      </w:r>
      <w:r w:rsidR="005920CA">
        <w:t>, require and appoint foreign judges and prosecutors,</w:t>
      </w:r>
      <w:r w:rsidRPr="00653381">
        <w:t xml:space="preserve"> or remove and ban officials from office.  Instead, Annex 10 instructs the High Representative to, for example, “facilitate,” “mobilize,” and “coordinate.”  In case there were any doubt, Annex 10 provides that the High Representative “shall respect [the] autonomy” of civilian organizations and agencies “within their spheres of operation while as necessary giving general </w:t>
      </w:r>
      <w:r w:rsidRPr="00653381">
        <w:rPr>
          <w:i/>
        </w:rPr>
        <w:t>guidance</w:t>
      </w:r>
      <w:r w:rsidRPr="00653381">
        <w:t xml:space="preserve"> to them about the impact of their activities on the implementation of the peace settlement.”</w:t>
      </w:r>
      <w:r w:rsidRPr="00653381">
        <w:rPr>
          <w:rStyle w:val="FootnoteReference"/>
        </w:rPr>
        <w:footnoteReference w:id="12"/>
      </w:r>
      <w:r w:rsidRPr="00653381">
        <w:t xml:space="preserve">  </w:t>
      </w:r>
    </w:p>
    <w:p w:rsidR="00C21DB9" w:rsidRPr="00653381" w:rsidRDefault="00C21DB9" w:rsidP="00C21DB9">
      <w:pPr>
        <w:pStyle w:val="NumberedParagraphs"/>
      </w:pPr>
      <w:r w:rsidRPr="00653381">
        <w:t xml:space="preserve">Article V of Annex 10 provides, “The High Representative is the final authority in theater regarding interpretation of </w:t>
      </w:r>
      <w:r w:rsidR="00737CEB" w:rsidRPr="00FA704E">
        <w:rPr>
          <w:u w:val="single"/>
        </w:rPr>
        <w:t>this</w:t>
      </w:r>
      <w:r w:rsidRPr="00FA704E">
        <w:t xml:space="preserve"> Agreement on the civilian implementation of the peace settlement [Annex 10]”</w:t>
      </w:r>
      <w:r w:rsidR="003F724E" w:rsidRPr="00FA704E">
        <w:t>.</w:t>
      </w:r>
      <w:r w:rsidR="002B5A57" w:rsidRPr="00FA704E">
        <w:t xml:space="preserve"> (emphasis added).</w:t>
      </w:r>
      <w:r w:rsidRPr="00FA704E">
        <w:t xml:space="preserve">  This provision, as its plain language makes clear, does not extend the High Representative’s authority</w:t>
      </w:r>
      <w:r w:rsidR="00A72EAF" w:rsidRPr="00FA704E">
        <w:t xml:space="preserve"> to interpret </w:t>
      </w:r>
      <w:r w:rsidR="00726DD0" w:rsidRPr="00FA704E">
        <w:t>“</w:t>
      </w:r>
      <w:r w:rsidR="00A72EAF" w:rsidRPr="00FA704E">
        <w:t>this Agreement</w:t>
      </w:r>
      <w:r w:rsidR="00726DD0" w:rsidRPr="00FA704E">
        <w:t>”</w:t>
      </w:r>
      <w:r w:rsidR="00A72EAF" w:rsidRPr="00FA704E">
        <w:t xml:space="preserve"> (Annex 10)</w:t>
      </w:r>
      <w:r w:rsidRPr="00FA704E">
        <w:t xml:space="preserve"> to any other parts of the Dayton Peace Accords such as Annex 4, the BiH Constitution.</w:t>
      </w:r>
      <w:r w:rsidRPr="00FA704E">
        <w:rPr>
          <w:rStyle w:val="FootnoteReference"/>
        </w:rPr>
        <w:footnoteReference w:id="13"/>
      </w:r>
      <w:r w:rsidRPr="00FA704E">
        <w:t xml:space="preserve">  That responsibility</w:t>
      </w:r>
      <w:r w:rsidRPr="00653381">
        <w:t xml:space="preserve"> falls to the treaty parties.</w:t>
      </w:r>
    </w:p>
    <w:p w:rsidR="00C21DB9" w:rsidRPr="00653381" w:rsidRDefault="00C21DB9" w:rsidP="00C21DB9">
      <w:pPr>
        <w:pStyle w:val="NumberedParagraphs"/>
      </w:pPr>
      <w:r w:rsidRPr="00653381">
        <w:t xml:space="preserve">Moreover, Annex 10 must be read in the context of the rest of the Dayton Accords.  Any reading of Annex 10 that would give the High Representative powers to enact </w:t>
      </w:r>
      <w:r w:rsidR="00732CE9">
        <w:t xml:space="preserve">or overrule legally enacted </w:t>
      </w:r>
      <w:r w:rsidRPr="00653381">
        <w:t>legislation</w:t>
      </w:r>
      <w:r w:rsidR="000D781F">
        <w:t>, appoint judges and prosecutors,</w:t>
      </w:r>
      <w:r w:rsidRPr="00653381">
        <w:t xml:space="preserve"> or remove and ban officials without due process is wholly inconsistent with Annex 4 (the BiH Constitution) and Annex 6 (the Human, Civil and Political Rights Guarantees).</w:t>
      </w:r>
    </w:p>
    <w:p w:rsidR="00C21DB9" w:rsidRPr="00653381" w:rsidRDefault="00C21DB9" w:rsidP="00C21DB9">
      <w:pPr>
        <w:pStyle w:val="NumberedParagraphs"/>
      </w:pPr>
      <w:r w:rsidRPr="00653381">
        <w:t>A legally valid interpretation of the High Representative’s mandate in Annex 10 must also be guided by the cannon that an agreement not be construed to give what is not explicitly given.  In cases where a treaty delegates to an international official responsibilities touching upon domestic governance of a state, a very restrictive interpretation of the relevant treaty provision is required.</w:t>
      </w:r>
      <w:r w:rsidRPr="00653381">
        <w:rPr>
          <w:rStyle w:val="FootnoteReference"/>
        </w:rPr>
        <w:footnoteReference w:id="14"/>
      </w:r>
      <w:r w:rsidRPr="00653381">
        <w:rPr>
          <w:rStyle w:val="FootnoteReference"/>
        </w:rPr>
        <w:t xml:space="preserve">  </w:t>
      </w:r>
      <w:r w:rsidRPr="00653381">
        <w:t xml:space="preserve">Any actions outside this mandate are </w:t>
      </w:r>
      <w:r w:rsidRPr="00653381">
        <w:rPr>
          <w:i/>
        </w:rPr>
        <w:t xml:space="preserve">ultra vires </w:t>
      </w:r>
      <w:r w:rsidRPr="00653381">
        <w:t>and thus without any force or effect</w:t>
      </w:r>
      <w:r w:rsidRPr="00653381">
        <w:rPr>
          <w:i/>
        </w:rPr>
        <w:t>.</w:t>
      </w:r>
      <w:r w:rsidRPr="00653381">
        <w:t xml:space="preserve"> </w:t>
      </w:r>
    </w:p>
    <w:p w:rsidR="00C21DB9" w:rsidRPr="00653381" w:rsidRDefault="00C21DB9" w:rsidP="00C21DB9">
      <w:pPr>
        <w:pStyle w:val="NumberedParagraphs"/>
        <w:rPr>
          <w:i/>
        </w:rPr>
      </w:pPr>
      <w:r w:rsidRPr="00653381">
        <w:t>In sum, an order of the High Representative is legally invalid if: (1) it is inconsistent with the fundamental human, political and civil rights and freedoms specified as having legal priority in the BIH Constitution; (2) if it is inconsistent with general principles of international law, applicable treaties or other provisions of general international law; or (3) it exceeds the authority granted the High Representative in Annex 10</w:t>
      </w:r>
      <w:r w:rsidR="002B5A57">
        <w:t xml:space="preserve"> by the parties to that agreement</w:t>
      </w:r>
      <w:r w:rsidRPr="00653381">
        <w:t>.</w:t>
      </w:r>
    </w:p>
    <w:p w:rsidR="00C21DB9" w:rsidRPr="00653381" w:rsidRDefault="00C21DB9" w:rsidP="00C21DB9">
      <w:pPr>
        <w:pStyle w:val="NumberedParagraphs"/>
      </w:pPr>
      <w:r w:rsidRPr="00653381">
        <w:t>The Government’s responsibility to cooperate with the High Representative in connection with peace implementation does not supersede the Government's obligations under domestic and international law described above.  When an order of the High Representative conflicts with the Government's duties under the Constitutions of BiH and Repub</w:t>
      </w:r>
      <w:r w:rsidR="001B5F46">
        <w:t xml:space="preserve">lika Srpska </w:t>
      </w:r>
      <w:r w:rsidRPr="00653381">
        <w:t>or obligations under international law, the constitutional and legal obligations of BiH and R</w:t>
      </w:r>
      <w:r w:rsidR="001B5F46">
        <w:t xml:space="preserve">epublika Srpska </w:t>
      </w:r>
      <w:r w:rsidRPr="00653381">
        <w:t>law must have priority.</w:t>
      </w:r>
      <w:r w:rsidR="00CD6C7C">
        <w:t xml:space="preserve">  </w:t>
      </w:r>
    </w:p>
    <w:p w:rsidR="00C21DB9" w:rsidRPr="000B6BCA" w:rsidRDefault="00C21DB9" w:rsidP="00CD6C7C">
      <w:pPr>
        <w:pStyle w:val="NumberedParagraphs"/>
        <w:keepNext/>
        <w:numPr>
          <w:ilvl w:val="0"/>
          <w:numId w:val="0"/>
        </w:numPr>
        <w:rPr>
          <w:b/>
          <w:u w:val="single"/>
        </w:rPr>
      </w:pPr>
      <w:r w:rsidRPr="000B6BCA">
        <w:rPr>
          <w:b/>
          <w:u w:val="single"/>
        </w:rPr>
        <w:t>Government Assessment of High Representative’s Decision</w:t>
      </w:r>
      <w:r w:rsidR="00C526AE">
        <w:rPr>
          <w:b/>
          <w:u w:val="single"/>
        </w:rPr>
        <w:t>s</w:t>
      </w:r>
    </w:p>
    <w:p w:rsidR="00C21DB9" w:rsidRPr="00FA704E" w:rsidRDefault="00C21DB9" w:rsidP="00CD6C7C">
      <w:pPr>
        <w:pStyle w:val="NumberedParagraphs"/>
        <w:keepNext/>
      </w:pPr>
      <w:r w:rsidRPr="00653381">
        <w:t>Taking into acc</w:t>
      </w:r>
      <w:r w:rsidR="00CD6C7C">
        <w:t>ount what has been stated above,</w:t>
      </w:r>
      <w:r w:rsidRPr="00653381">
        <w:t xml:space="preserve"> the Government </w:t>
      </w:r>
      <w:r w:rsidR="009C2844" w:rsidRPr="00FA704E">
        <w:t>assesses</w:t>
      </w:r>
      <w:r w:rsidRPr="00FA704E">
        <w:t xml:space="preserve"> </w:t>
      </w:r>
      <w:r w:rsidR="000A6234" w:rsidRPr="00FA704E">
        <w:t xml:space="preserve">the </w:t>
      </w:r>
      <w:r w:rsidR="009C2844" w:rsidRPr="00FA704E">
        <w:t>decisions</w:t>
      </w:r>
      <w:r w:rsidR="00732CE9" w:rsidRPr="00FA704E">
        <w:t xml:space="preserve"> </w:t>
      </w:r>
      <w:r w:rsidRPr="00FA704E">
        <w:t xml:space="preserve">of the High Representative pursuant to the Government’s obligation to operate in accordance with the rule of law. </w:t>
      </w:r>
      <w:r w:rsidR="003F690B">
        <w:t xml:space="preserve"> </w:t>
      </w:r>
      <w:r w:rsidRPr="00FA704E">
        <w:t xml:space="preserve">The government </w:t>
      </w:r>
      <w:r w:rsidR="009C2844" w:rsidRPr="00FA704E">
        <w:t>has justifiably</w:t>
      </w:r>
      <w:r w:rsidRPr="00FA704E">
        <w:t xml:space="preserve"> concluded that its legal obligations preclude its acceptance or enforcement of th</w:t>
      </w:r>
      <w:r w:rsidR="000A6234" w:rsidRPr="00FA704E">
        <w:t>e decisions</w:t>
      </w:r>
      <w:r w:rsidRPr="00FA704E">
        <w:t xml:space="preserve"> for the reasons</w:t>
      </w:r>
      <w:r w:rsidR="00732CE9" w:rsidRPr="00FA704E">
        <w:t xml:space="preserve"> stated herein.</w:t>
      </w:r>
      <w:r w:rsidR="009C2844" w:rsidRPr="00FA704E">
        <w:t xml:space="preserve"> The Government holds that such decisions, in addition to their violating domestic and international law, also attempt to </w:t>
      </w:r>
      <w:r w:rsidR="003F690B">
        <w:t>disresp</w:t>
      </w:r>
      <w:r w:rsidR="001A0357" w:rsidRPr="00FA704E">
        <w:t xml:space="preserve">ect </w:t>
      </w:r>
      <w:r w:rsidR="009C2844" w:rsidRPr="00FA704E">
        <w:t>Republika Srpska and its institutions</w:t>
      </w:r>
      <w:r w:rsidR="00CE6437" w:rsidRPr="00FA704E">
        <w:t>, which</w:t>
      </w:r>
      <w:r w:rsidR="009C2844" w:rsidRPr="00FA704E">
        <w:t xml:space="preserve"> </w:t>
      </w:r>
      <w:r w:rsidR="00C10DED" w:rsidRPr="00FA704E">
        <w:t>enjoy</w:t>
      </w:r>
      <w:r w:rsidR="009C2844" w:rsidRPr="00FA704E">
        <w:t xml:space="preserve"> constitutional and democratic legitimacy, unlike the High Representative </w:t>
      </w:r>
      <w:r w:rsidR="0001264D" w:rsidRPr="00FA704E">
        <w:t>who is</w:t>
      </w:r>
      <w:r w:rsidR="009C2844" w:rsidRPr="00FA704E">
        <w:t xml:space="preserve"> an unelected foreigner.</w:t>
      </w:r>
    </w:p>
    <w:p w:rsidR="00C21DB9" w:rsidRPr="00653381" w:rsidRDefault="00C21DB9" w:rsidP="00C21DB9">
      <w:pPr>
        <w:pStyle w:val="NumberedParagraphs"/>
      </w:pPr>
      <w:r w:rsidRPr="00653381">
        <w:t xml:space="preserve">Because the </w:t>
      </w:r>
      <w:r w:rsidR="000A6234">
        <w:t>decisions</w:t>
      </w:r>
      <w:r w:rsidR="000A6234" w:rsidRPr="00653381">
        <w:t xml:space="preserve"> </w:t>
      </w:r>
      <w:r w:rsidRPr="00653381">
        <w:t>of the High Representative may result in injury, including economic injury,</w:t>
      </w:r>
      <w:r w:rsidR="00B12B4B">
        <w:t xml:space="preserve"> to those whose rights and well</w:t>
      </w:r>
      <w:r w:rsidRPr="00653381">
        <w:t>being the Government is charged to protect, the Government will also consider what actions must be taken to provide redress for such injury.</w:t>
      </w:r>
    </w:p>
    <w:p w:rsidR="00C21DB9" w:rsidRDefault="00CB259C" w:rsidP="00CB259C">
      <w:pPr>
        <w:pStyle w:val="NumberedParagraphs"/>
        <w:numPr>
          <w:ilvl w:val="0"/>
          <w:numId w:val="0"/>
        </w:numPr>
      </w:pPr>
      <w:r w:rsidRPr="00CB259C">
        <w:rPr>
          <w:b/>
          <w:u w:val="single"/>
        </w:rPr>
        <w:t>Referendum</w:t>
      </w:r>
    </w:p>
    <w:p w:rsidR="00C21DB9" w:rsidRPr="003F690B" w:rsidRDefault="004076D4" w:rsidP="006F2C2D">
      <w:pPr>
        <w:pStyle w:val="NumberedParagraphs"/>
      </w:pPr>
      <w:r w:rsidRPr="003F690B">
        <w:t>For reasons set forth</w:t>
      </w:r>
      <w:r w:rsidR="00C10DED" w:rsidRPr="003F690B">
        <w:t xml:space="preserve"> above, the authorities have </w:t>
      </w:r>
      <w:r w:rsidR="00EF775D" w:rsidRPr="003F690B">
        <w:t>a</w:t>
      </w:r>
      <w:r w:rsidR="00CB259C" w:rsidRPr="003F690B">
        <w:t xml:space="preserve"> legal obligation </w:t>
      </w:r>
      <w:r w:rsidR="00EF775D" w:rsidRPr="003F690B">
        <w:rPr>
          <w:u w:val="single"/>
        </w:rPr>
        <w:t xml:space="preserve">not </w:t>
      </w:r>
      <w:r w:rsidR="00CB259C" w:rsidRPr="003F690B">
        <w:rPr>
          <w:u w:val="single"/>
        </w:rPr>
        <w:t>to accept or enforce</w:t>
      </w:r>
      <w:r w:rsidR="00CB259C" w:rsidRPr="003F690B">
        <w:t xml:space="preserve"> the High Representative’s </w:t>
      </w:r>
      <w:r w:rsidR="000A6234" w:rsidRPr="003F690B">
        <w:t>d</w:t>
      </w:r>
      <w:r w:rsidR="00CB259C" w:rsidRPr="003F690B">
        <w:t>ecision</w:t>
      </w:r>
      <w:r w:rsidR="000A6234" w:rsidRPr="003F690B">
        <w:t>s</w:t>
      </w:r>
      <w:r w:rsidR="00C10DED" w:rsidRPr="003F690B">
        <w:t>. In addition,</w:t>
      </w:r>
      <w:r w:rsidR="00C60325" w:rsidRPr="003F690B">
        <w:t xml:space="preserve"> the RS National Assembly will be requested to provide its position</w:t>
      </w:r>
      <w:r w:rsidR="000A6234" w:rsidRPr="003F690B">
        <w:t>;</w:t>
      </w:r>
      <w:r w:rsidR="00C60325" w:rsidRPr="003F690B">
        <w:t xml:space="preserve"> and through a referendum</w:t>
      </w:r>
      <w:r w:rsidR="000A6234" w:rsidRPr="003F690B">
        <w:t>,</w:t>
      </w:r>
      <w:r w:rsidR="00B12B4B" w:rsidRPr="003F690B">
        <w:t xml:space="preserve"> the citizens of Republika Srpska </w:t>
      </w:r>
      <w:r w:rsidR="00C60325" w:rsidRPr="003F690B">
        <w:t xml:space="preserve">will be allowed </w:t>
      </w:r>
      <w:r w:rsidR="00B12B4B" w:rsidRPr="003F690B">
        <w:t xml:space="preserve">to express their </w:t>
      </w:r>
      <w:r w:rsidR="00EF775D" w:rsidRPr="003F690B">
        <w:t>view</w:t>
      </w:r>
      <w:r w:rsidR="00B12B4B" w:rsidRPr="003F690B">
        <w:t xml:space="preserve"> </w:t>
      </w:r>
      <w:r w:rsidR="00732CE9" w:rsidRPr="003F690B">
        <w:t xml:space="preserve">on whether </w:t>
      </w:r>
      <w:r w:rsidR="001A0357" w:rsidRPr="003F690B">
        <w:t xml:space="preserve">or not </w:t>
      </w:r>
      <w:r w:rsidR="00B12B4B" w:rsidRPr="003F690B">
        <w:t xml:space="preserve">the Government </w:t>
      </w:r>
      <w:r w:rsidR="00732CE9" w:rsidRPr="003F690B">
        <w:t>should</w:t>
      </w:r>
      <w:r w:rsidR="00B12B4B" w:rsidRPr="003F690B">
        <w:t xml:space="preserve"> accept the High </w:t>
      </w:r>
      <w:r w:rsidR="00346290" w:rsidRPr="003F690B">
        <w:t xml:space="preserve">Representative’s </w:t>
      </w:r>
      <w:r w:rsidR="001A0357" w:rsidRPr="003F690B">
        <w:t>decisions, which exceed his mandate</w:t>
      </w:r>
      <w:r w:rsidR="00341D97" w:rsidRPr="003F690B">
        <w:t xml:space="preserve">. </w:t>
      </w:r>
      <w:r w:rsidR="003F690B">
        <w:t xml:space="preserve"> </w:t>
      </w:r>
      <w:r w:rsidR="00341D97" w:rsidRPr="003F690B">
        <w:t xml:space="preserve">This mandate derives from Annex 10, to which </w:t>
      </w:r>
      <w:r w:rsidR="00C60325" w:rsidRPr="003F690B">
        <w:t xml:space="preserve">Republika Srpska </w:t>
      </w:r>
      <w:r w:rsidR="00341D97" w:rsidRPr="003F690B">
        <w:t xml:space="preserve">is </w:t>
      </w:r>
      <w:r w:rsidR="00C60325" w:rsidRPr="003F690B">
        <w:t xml:space="preserve">a signatory </w:t>
      </w:r>
      <w:r w:rsidR="00341D97" w:rsidRPr="003F690B">
        <w:t>(as well as</w:t>
      </w:r>
      <w:r w:rsidR="00C60325" w:rsidRPr="003F690B">
        <w:t xml:space="preserve"> </w:t>
      </w:r>
      <w:r w:rsidR="00341D97" w:rsidRPr="003F690B">
        <w:t xml:space="preserve">all </w:t>
      </w:r>
      <w:r w:rsidR="00C60325" w:rsidRPr="003F690B">
        <w:t xml:space="preserve">other annexes </w:t>
      </w:r>
      <w:r w:rsidR="00341D97" w:rsidRPr="003F690B">
        <w:t xml:space="preserve">of </w:t>
      </w:r>
      <w:r w:rsidR="00C60325" w:rsidRPr="003F690B">
        <w:t>the Dayton Accords</w:t>
      </w:r>
      <w:r w:rsidR="00341D97" w:rsidRPr="003F690B">
        <w:t>)</w:t>
      </w:r>
      <w:r w:rsidR="00C60325" w:rsidRPr="003F690B">
        <w:t xml:space="preserve">. </w:t>
      </w:r>
    </w:p>
    <w:sectPr w:rsidR="00C21DB9" w:rsidRPr="003F690B" w:rsidSect="00E6086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70B" w:rsidRDefault="0067170B" w:rsidP="006F6BC0">
      <w:pPr>
        <w:spacing w:after="0" w:line="240" w:lineRule="auto"/>
      </w:pPr>
      <w:r>
        <w:separator/>
      </w:r>
    </w:p>
  </w:endnote>
  <w:endnote w:type="continuationSeparator" w:id="0">
    <w:p w:rsidR="0067170B" w:rsidRDefault="0067170B" w:rsidP="006F6B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CBE" w:rsidRDefault="00AD19A8">
    <w:pPr>
      <w:pStyle w:val="Footer"/>
      <w:jc w:val="center"/>
    </w:pPr>
    <w:fldSimple w:instr=" PAGE   \* MERGEFORMAT ">
      <w:r w:rsidR="00851989">
        <w:rPr>
          <w:noProof/>
        </w:rPr>
        <w:t>3</w:t>
      </w:r>
    </w:fldSimple>
  </w:p>
  <w:p w:rsidR="00B54CBE" w:rsidRDefault="00B54C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70B" w:rsidRDefault="0067170B" w:rsidP="006F6BC0">
      <w:pPr>
        <w:spacing w:after="0" w:line="240" w:lineRule="auto"/>
      </w:pPr>
      <w:r>
        <w:separator/>
      </w:r>
    </w:p>
  </w:footnote>
  <w:footnote w:type="continuationSeparator" w:id="0">
    <w:p w:rsidR="0067170B" w:rsidRDefault="0067170B" w:rsidP="006F6BC0">
      <w:pPr>
        <w:spacing w:after="0" w:line="240" w:lineRule="auto"/>
      </w:pPr>
      <w:r>
        <w:continuationSeparator/>
      </w:r>
    </w:p>
  </w:footnote>
  <w:footnote w:id="1">
    <w:p w:rsidR="00B54CBE" w:rsidRPr="001262DB" w:rsidRDefault="00B54CBE" w:rsidP="00152460">
      <w:pPr>
        <w:pStyle w:val="FootnoteText"/>
        <w:ind w:firstLine="0"/>
      </w:pPr>
      <w:r w:rsidRPr="001262DB">
        <w:rPr>
          <w:rStyle w:val="FootnoteReference"/>
        </w:rPr>
        <w:footnoteRef/>
      </w:r>
      <w:r w:rsidRPr="001262DB">
        <w:t xml:space="preserve"> </w:t>
      </w:r>
      <w:r w:rsidRPr="001262DB">
        <w:rPr>
          <w:iCs/>
        </w:rPr>
        <w:t xml:space="preserve">The rule of law obligation arises from the mutually consistent rule of law provisions of BiH and Republika Srpska constitutions and the Dayton Peace Accords.  Governance according to the rule of law is also a general principle of law.  </w:t>
      </w:r>
      <w:r w:rsidRPr="001262DB">
        <w:rPr>
          <w:i/>
          <w:iCs/>
        </w:rPr>
        <w:t>See</w:t>
      </w:r>
      <w:r w:rsidRPr="001262DB">
        <w:rPr>
          <w:iCs/>
        </w:rPr>
        <w:t xml:space="preserve"> Sir Gerald Fitzmaurice, </w:t>
      </w:r>
      <w:r w:rsidRPr="001262DB">
        <w:rPr>
          <w:i/>
          <w:iCs/>
        </w:rPr>
        <w:t>The General Principles of International Law Considered from the Standpoint of the Rule of Law</w:t>
      </w:r>
      <w:r w:rsidRPr="001262DB">
        <w:rPr>
          <w:iCs/>
        </w:rPr>
        <w:t xml:space="preserve">, </w:t>
      </w:r>
      <w:r w:rsidRPr="001262DB">
        <w:rPr>
          <w:iCs/>
          <w:smallCaps/>
        </w:rPr>
        <w:t>Recueil des cours</w:t>
      </w:r>
      <w:r w:rsidRPr="001262DB">
        <w:rPr>
          <w:iCs/>
        </w:rPr>
        <w:t xml:space="preserve">, 1957, vol. 92 , issue II, at 38, 45-46, 92. </w:t>
      </w:r>
    </w:p>
  </w:footnote>
  <w:footnote w:id="2">
    <w:p w:rsidR="00B54CBE" w:rsidRPr="001262DB" w:rsidRDefault="00B54CBE" w:rsidP="007605E4">
      <w:pPr>
        <w:pStyle w:val="FootnoteText"/>
        <w:ind w:firstLine="0"/>
      </w:pPr>
      <w:r w:rsidRPr="001262DB">
        <w:rPr>
          <w:rStyle w:val="FootnoteReference"/>
        </w:rPr>
        <w:footnoteRef/>
      </w:r>
      <w:r w:rsidRPr="001262DB">
        <w:t xml:space="preserve"> Law on Court of Bosnia and Herzegovina, "Official Gazette" of </w:t>
      </w:r>
      <w:smartTag w:uri="urn:schemas-microsoft-com:office:smarttags" w:element="country-region">
        <w:smartTag w:uri="urn:schemas-microsoft-com:office:smarttags" w:element="place">
          <w:r w:rsidRPr="001262DB">
            <w:t>Bosnia and Herzegovina</w:t>
          </w:r>
        </w:smartTag>
      </w:smartTag>
      <w:r w:rsidRPr="001262DB">
        <w:t xml:space="preserve">, (29/00, 16/02, 24/02, 3/03, 37/03, 42/03, 4/04, 9/04, 35/04, 61/04, 32/07), Art. 65(1). Law on the Prosecutor's Office of </w:t>
      </w:r>
      <w:smartTag w:uri="urn:schemas-microsoft-com:office:smarttags" w:element="country-region">
        <w:smartTag w:uri="urn:schemas-microsoft-com:office:smarttags" w:element="place">
          <w:r w:rsidRPr="001262DB">
            <w:t>Bosnia and Herzegovina</w:t>
          </w:r>
        </w:smartTag>
      </w:smartTag>
      <w:r w:rsidRPr="001262DB">
        <w:t>, (24/02, 3/03, 37/03, 42/03, 9/04, 35/04, 61/04), Art. 18(a)(1).</w:t>
      </w:r>
    </w:p>
  </w:footnote>
  <w:footnote w:id="3">
    <w:p w:rsidR="00B54CBE" w:rsidRPr="001262DB" w:rsidRDefault="00B54CBE" w:rsidP="00E65A59">
      <w:pPr>
        <w:pStyle w:val="FootnoteText"/>
        <w:ind w:firstLine="0"/>
      </w:pPr>
      <w:r w:rsidRPr="001262DB">
        <w:rPr>
          <w:rStyle w:val="FootnoteReference"/>
        </w:rPr>
        <w:footnoteRef/>
      </w:r>
      <w:r w:rsidRPr="001262DB">
        <w:t xml:space="preserve"> Constitution of </w:t>
      </w:r>
      <w:smartTag w:uri="urn:schemas-microsoft-com:office:smarttags" w:element="country-region">
        <w:smartTag w:uri="urn:schemas-microsoft-com:office:smarttags" w:element="place">
          <w:r w:rsidRPr="001262DB">
            <w:t>Bosnia and Herzegovina</w:t>
          </w:r>
        </w:smartTag>
      </w:smartTag>
      <w:r w:rsidRPr="001262DB">
        <w:t>, Art. VI.</w:t>
      </w:r>
    </w:p>
  </w:footnote>
  <w:footnote w:id="4">
    <w:p w:rsidR="00B54CBE" w:rsidRDefault="00B54CBE" w:rsidP="00EF775D">
      <w:pPr>
        <w:pStyle w:val="FootnoteText"/>
        <w:ind w:firstLine="0"/>
      </w:pPr>
      <w:r>
        <w:rPr>
          <w:rStyle w:val="FootnoteReference"/>
        </w:rPr>
        <w:footnoteRef/>
      </w:r>
      <w:r>
        <w:t xml:space="preserve"> The Government reserves its position regarding the legality and enforceability of these changes to the laws.</w:t>
      </w:r>
    </w:p>
  </w:footnote>
  <w:footnote w:id="5">
    <w:p w:rsidR="00B54CBE" w:rsidRPr="001262DB" w:rsidRDefault="00B54CBE" w:rsidP="00E65A59">
      <w:pPr>
        <w:pStyle w:val="FootnoteText"/>
        <w:ind w:firstLine="0"/>
      </w:pPr>
      <w:r w:rsidRPr="001262DB">
        <w:rPr>
          <w:rStyle w:val="FootnoteReference"/>
        </w:rPr>
        <w:footnoteRef/>
      </w:r>
      <w:r w:rsidRPr="001262DB">
        <w:t xml:space="preserve"> Information on prosecutors of </w:t>
      </w:r>
      <w:smartTag w:uri="urn:schemas-microsoft-com:office:smarttags" w:element="country-region">
        <w:smartTag w:uri="urn:schemas-microsoft-com:office:smarttags" w:element="place">
          <w:r w:rsidRPr="001262DB">
            <w:t>Bosnia</w:t>
          </w:r>
        </w:smartTag>
      </w:smartTag>
      <w:r w:rsidRPr="001262DB">
        <w:t>'s Prosecutor's Office is available at www.tuzilastvobih.gov.ba.</w:t>
      </w:r>
    </w:p>
  </w:footnote>
  <w:footnote w:id="6">
    <w:p w:rsidR="00B54CBE" w:rsidRPr="001262DB" w:rsidRDefault="00B54CBE" w:rsidP="00E65A59">
      <w:pPr>
        <w:pStyle w:val="FootnoteText"/>
        <w:ind w:firstLine="0"/>
      </w:pPr>
      <w:r w:rsidRPr="001262DB">
        <w:rPr>
          <w:rStyle w:val="FootnoteReference"/>
        </w:rPr>
        <w:footnoteRef/>
      </w:r>
      <w:r w:rsidRPr="001262DB">
        <w:t xml:space="preserve"> </w:t>
      </w:r>
      <w:r w:rsidRPr="001262DB">
        <w:rPr>
          <w:i/>
        </w:rPr>
        <w:t>See</w:t>
      </w:r>
      <w:r w:rsidRPr="001262DB">
        <w:t xml:space="preserve"> </w:t>
      </w:r>
      <w:r w:rsidRPr="001262DB">
        <w:rPr>
          <w:i/>
        </w:rPr>
        <w:t>id</w:t>
      </w:r>
      <w:r w:rsidRPr="001262DB">
        <w:t>.</w:t>
      </w:r>
    </w:p>
  </w:footnote>
  <w:footnote w:id="7">
    <w:p w:rsidR="00B54CBE" w:rsidRPr="001262DB" w:rsidRDefault="00B54CBE" w:rsidP="00E65A59">
      <w:pPr>
        <w:pStyle w:val="FootnoteText"/>
        <w:ind w:firstLine="0"/>
      </w:pPr>
      <w:r w:rsidRPr="001262DB">
        <w:rPr>
          <w:rStyle w:val="FootnoteReference"/>
        </w:rPr>
        <w:footnoteRef/>
      </w:r>
      <w:r w:rsidRPr="001262DB">
        <w:t xml:space="preserve"> The Government reserves its position regarding the legality and enforceability of the immunity in question with respect to non-citizens of </w:t>
      </w:r>
      <w:smartTag w:uri="urn:schemas-microsoft-com:office:smarttags" w:element="country-region">
        <w:smartTag w:uri="urn:schemas-microsoft-com:office:smarttags" w:element="place">
          <w:r w:rsidRPr="001262DB">
            <w:t>Bosnia</w:t>
          </w:r>
        </w:smartTag>
      </w:smartTag>
      <w:r w:rsidRPr="001262DB">
        <w:t>.</w:t>
      </w:r>
    </w:p>
  </w:footnote>
  <w:footnote w:id="8">
    <w:p w:rsidR="00B54CBE" w:rsidRPr="001262DB" w:rsidRDefault="00B54CBE" w:rsidP="00E65A59">
      <w:pPr>
        <w:pStyle w:val="FootnoteText"/>
        <w:ind w:firstLine="0"/>
      </w:pPr>
      <w:r w:rsidRPr="001262DB">
        <w:rPr>
          <w:rStyle w:val="FootnoteReference"/>
        </w:rPr>
        <w:footnoteRef/>
      </w:r>
      <w:r w:rsidRPr="001262DB">
        <w:t xml:space="preserve"> Decision on Granting a Diplomatic Status to the International Members of the Prosecutor’s Office in </w:t>
      </w:r>
      <w:smartTag w:uri="urn:schemas-microsoft-com:office:smarttags" w:element="country-region">
        <w:smartTag w:uri="urn:schemas-microsoft-com:office:smarttags" w:element="place">
          <w:r w:rsidRPr="001262DB">
            <w:t>Bosnia and Herzegovina</w:t>
          </w:r>
        </w:smartTag>
      </w:smartTag>
      <w:r w:rsidRPr="001262DB">
        <w:t xml:space="preserve">, Official Gazette of Bosnia and </w:t>
      </w:r>
      <w:smartTag w:uri="urn:schemas-microsoft-com:office:smarttags" w:element="country-region">
        <w:smartTag w:uri="urn:schemas-microsoft-com:office:smarttags" w:element="place">
          <w:r w:rsidRPr="001262DB">
            <w:t>Herzegovina</w:t>
          </w:r>
        </w:smartTag>
      </w:smartTag>
      <w:r w:rsidRPr="001262DB">
        <w:t xml:space="preserve"> (28/04).  The Government reserves its position regarding the constitutionality of this decision.  </w:t>
      </w:r>
      <w:r w:rsidRPr="001262DB">
        <w:rPr>
          <w:i/>
          <w:iCs/>
        </w:rPr>
        <w:t xml:space="preserve">See also, </w:t>
      </w:r>
      <w:r w:rsidRPr="001262DB">
        <w:t xml:space="preserve">Law on Court of Bosnia and Herzegovina, Official Gazette of Bosnia and Herzegovina, (29/00, 16/02, 24/02, 3/03, 37/03, 42/03, 4/04, 9/04, 35/04, 61/04, 32/07), which provides criminal and civil immunity for international judges (Art. 65(8)), but no immunity for judges who are citizens of Bosnia.  </w:t>
      </w:r>
      <w:r w:rsidRPr="001262DB">
        <w:rPr>
          <w:i/>
          <w:iCs/>
        </w:rPr>
        <w:t xml:space="preserve">See also, </w:t>
      </w:r>
      <w:r w:rsidRPr="001262DB">
        <w:t xml:space="preserve">Law on the Prosecutor's Office of Bosnia and Herzegovina, Official Gazette of Bosnia and Herzegovina, (24/02, 3/03, 37/03, 42/03, 9/04, 35/04, 61/04), which provides criminal and civil immunity for international prosecutors (Art. 18(a)(3)), but no immunity for prosecutors who are citizens of Bosnia.  </w:t>
      </w:r>
    </w:p>
  </w:footnote>
  <w:footnote w:id="9">
    <w:p w:rsidR="00B54CBE" w:rsidRPr="001262DB" w:rsidRDefault="00B54CBE" w:rsidP="007605E4">
      <w:pPr>
        <w:pStyle w:val="FootnoteText"/>
        <w:ind w:firstLine="0"/>
      </w:pPr>
      <w:r w:rsidRPr="001262DB">
        <w:rPr>
          <w:rStyle w:val="FootnoteReference"/>
        </w:rPr>
        <w:footnoteRef/>
      </w:r>
      <w:r w:rsidRPr="001262DB">
        <w:t xml:space="preserve"> Of course the High Representative is also bound by international law.  </w:t>
      </w:r>
      <w:r w:rsidRPr="001262DB">
        <w:rPr>
          <w:i/>
        </w:rPr>
        <w:t>See</w:t>
      </w:r>
      <w:r w:rsidRPr="001262DB">
        <w:t xml:space="preserve"> Fitzmaurice at 46 (“[I]nternational law is automatically, </w:t>
      </w:r>
      <w:r w:rsidRPr="001262DB">
        <w:rPr>
          <w:i/>
        </w:rPr>
        <w:t>ipso facto</w:t>
      </w:r>
      <w:r w:rsidRPr="001262DB">
        <w:t>, and permanently binding on international persons—and in particular, States.”).</w:t>
      </w:r>
    </w:p>
  </w:footnote>
  <w:footnote w:id="10">
    <w:p w:rsidR="00B54CBE" w:rsidRPr="001262DB" w:rsidRDefault="00B54CBE" w:rsidP="00C21DB9">
      <w:pPr>
        <w:pStyle w:val="NormalWeb"/>
        <w:spacing w:after="120" w:afterAutospacing="0"/>
        <w:rPr>
          <w:sz w:val="20"/>
          <w:szCs w:val="20"/>
        </w:rPr>
      </w:pPr>
      <w:r w:rsidRPr="001262DB">
        <w:rPr>
          <w:rStyle w:val="FootnoteReference"/>
          <w:sz w:val="20"/>
          <w:szCs w:val="20"/>
        </w:rPr>
        <w:footnoteRef/>
      </w:r>
      <w:r w:rsidRPr="001262DB">
        <w:rPr>
          <w:sz w:val="20"/>
          <w:szCs w:val="20"/>
        </w:rPr>
        <w:t xml:space="preserve"> </w:t>
      </w:r>
      <w:r w:rsidRPr="001262DB">
        <w:rPr>
          <w:i/>
          <w:sz w:val="20"/>
          <w:szCs w:val="20"/>
        </w:rPr>
        <w:t>See</w:t>
      </w:r>
      <w:r w:rsidRPr="001262DB">
        <w:rPr>
          <w:sz w:val="20"/>
          <w:szCs w:val="20"/>
        </w:rPr>
        <w:t xml:space="preserve"> Herman Mosher, </w:t>
      </w:r>
      <w:r w:rsidRPr="001262DB">
        <w:rPr>
          <w:i/>
          <w:sz w:val="20"/>
          <w:szCs w:val="20"/>
        </w:rPr>
        <w:t>General Principles of Law,</w:t>
      </w:r>
      <w:r w:rsidRPr="001262DB">
        <w:rPr>
          <w:sz w:val="20"/>
          <w:szCs w:val="20"/>
        </w:rPr>
        <w:t xml:space="preserve"> </w:t>
      </w:r>
      <w:r w:rsidRPr="001262DB">
        <w:rPr>
          <w:i/>
          <w:sz w:val="20"/>
          <w:szCs w:val="20"/>
        </w:rPr>
        <w:t>in</w:t>
      </w:r>
      <w:r w:rsidRPr="001262DB">
        <w:rPr>
          <w:sz w:val="20"/>
          <w:szCs w:val="20"/>
        </w:rPr>
        <w:t xml:space="preserve"> </w:t>
      </w:r>
      <w:r w:rsidRPr="001262DB">
        <w:rPr>
          <w:smallCaps/>
          <w:sz w:val="20"/>
          <w:szCs w:val="20"/>
        </w:rPr>
        <w:t xml:space="preserve">Encyclopedia of Public International Law </w:t>
      </w:r>
      <w:r w:rsidRPr="001262DB">
        <w:rPr>
          <w:sz w:val="20"/>
          <w:szCs w:val="20"/>
        </w:rPr>
        <w:t>511, 511-527 (1992).</w:t>
      </w:r>
    </w:p>
    <w:p w:rsidR="00B54CBE" w:rsidRPr="001262DB" w:rsidRDefault="00B54CBE" w:rsidP="00C21DB9">
      <w:pPr>
        <w:pStyle w:val="FootnoteText"/>
      </w:pPr>
    </w:p>
  </w:footnote>
  <w:footnote w:id="11">
    <w:p w:rsidR="00B54CBE" w:rsidRPr="001262DB" w:rsidRDefault="00B54CBE" w:rsidP="00732CE9">
      <w:pPr>
        <w:pStyle w:val="FootnoteText"/>
        <w:ind w:firstLine="0"/>
      </w:pPr>
      <w:r w:rsidRPr="001262DB">
        <w:rPr>
          <w:rStyle w:val="FootnoteReference"/>
        </w:rPr>
        <w:footnoteRef/>
      </w:r>
      <w:r w:rsidRPr="001262DB">
        <w:t xml:space="preserve"> Vienna Convention on the Law of Treaties, art</w:t>
      </w:r>
      <w:r>
        <w:t>s</w:t>
      </w:r>
      <w:r w:rsidRPr="001262DB">
        <w:t>. 31</w:t>
      </w:r>
      <w:r>
        <w:t xml:space="preserve"> and 32</w:t>
      </w:r>
      <w:r w:rsidRPr="001262DB">
        <w:t xml:space="preserve">, 8 ILM 679 (1969); Competence of the ILO to Regulate Agricultural Labor, P.C.I.J. (1922) Series B, Nos. 2 and 3, p. 23 (“In considering the question before the Court upon the language of the Treaty, it is obvious that the Treaty must be read as a whole, and that its meaning is not to be determined merely upon particular phrases which, if detached from the context, may be interpreted in more than one sense.”); Draft Articles on the Law of Treaties with Commentaries 1996, Yearbook of the International Law Commission, 1996, Vol. II pp 220-221; </w:t>
      </w:r>
      <w:r w:rsidRPr="001262DB">
        <w:rPr>
          <w:smallCaps/>
        </w:rPr>
        <w:t>Anthony Aust, Modern Treaty Law and Practice</w:t>
      </w:r>
      <w:r w:rsidRPr="001262DB">
        <w:t>, Second Edition, pp. 230-238 (2007).</w:t>
      </w:r>
    </w:p>
  </w:footnote>
  <w:footnote w:id="12">
    <w:p w:rsidR="00B54CBE" w:rsidRPr="001262DB" w:rsidRDefault="00B54CBE" w:rsidP="007605E4">
      <w:pPr>
        <w:pStyle w:val="FootnoteText"/>
        <w:ind w:firstLine="0"/>
      </w:pPr>
      <w:r w:rsidRPr="001262DB">
        <w:rPr>
          <w:rStyle w:val="FootnoteReference"/>
        </w:rPr>
        <w:footnoteRef/>
      </w:r>
      <w:r w:rsidRPr="001262DB">
        <w:t xml:space="preserve"> Agreement on Civilian Implementation of the Peace Settlement (Annex 10 to the General Framework Agreement for Peace in </w:t>
      </w:r>
      <w:smartTag w:uri="urn:schemas-microsoft-com:office:smarttags" w:element="country-region">
        <w:smartTag w:uri="urn:schemas-microsoft-com:office:smarttags" w:element="place">
          <w:r w:rsidRPr="001262DB">
            <w:t>Bosnia and Herzegovina</w:t>
          </w:r>
        </w:smartTag>
      </w:smartTag>
      <w:r w:rsidRPr="001262DB">
        <w:t>), art. II(1)(c) (emphasis added).</w:t>
      </w:r>
    </w:p>
  </w:footnote>
  <w:footnote w:id="13">
    <w:p w:rsidR="00B54CBE" w:rsidRPr="001262DB" w:rsidRDefault="00B54CBE" w:rsidP="007605E4">
      <w:pPr>
        <w:pStyle w:val="FootnoteText"/>
        <w:ind w:firstLine="0"/>
      </w:pPr>
      <w:r w:rsidRPr="001262DB">
        <w:rPr>
          <w:rStyle w:val="FootnoteReference"/>
        </w:rPr>
        <w:footnoteRef/>
      </w:r>
      <w:r w:rsidRPr="001262DB">
        <w:t xml:space="preserve"> Confirming this plain language, in its first resolution about </w:t>
      </w:r>
      <w:smartTag w:uri="urn:schemas-microsoft-com:office:smarttags" w:element="country-region">
        <w:smartTag w:uri="urn:schemas-microsoft-com:office:smarttags" w:element="place">
          <w:r w:rsidRPr="001262DB">
            <w:t>Bosnia</w:t>
          </w:r>
        </w:smartTag>
      </w:smartTag>
      <w:r w:rsidRPr="001262DB">
        <w:t xml:space="preserve"> after the Dayton Peace Accords, the UN Security Council approved a resolution “reaffirm[ing] that the High Representative is the final authority in theatre regarding the interpretation of Annex 10 on civilian implementation of the Peace Agreement . . . .” S.C. Res. 1088 (1996).  </w:t>
      </w:r>
      <w:r w:rsidRPr="001262DB">
        <w:rPr>
          <w:i/>
        </w:rPr>
        <w:t>See also, e.g</w:t>
      </w:r>
      <w:r w:rsidRPr="001262DB">
        <w:t>., S.C. Res. 1174 (1998) (“reaffirm[ing] that the High Representative is the final authority in theatre regarding the interpretation of Annex 10 on civilian implementation of the Peace Agreement . . .”).</w:t>
      </w:r>
    </w:p>
  </w:footnote>
  <w:footnote w:id="14">
    <w:p w:rsidR="00B54CBE" w:rsidRPr="001262DB" w:rsidRDefault="00B54CBE" w:rsidP="007605E4">
      <w:pPr>
        <w:pStyle w:val="FootnoteText"/>
        <w:ind w:firstLine="0"/>
      </w:pPr>
      <w:r w:rsidRPr="001262DB">
        <w:rPr>
          <w:rStyle w:val="FootnoteReference"/>
        </w:rPr>
        <w:footnoteRef/>
      </w:r>
      <w:r w:rsidRPr="001262DB">
        <w:t xml:space="preserve"> </w:t>
      </w:r>
      <w:r w:rsidRPr="001262DB">
        <w:rPr>
          <w:i/>
        </w:rPr>
        <w:t>See</w:t>
      </w:r>
      <w:r w:rsidRPr="001262DB">
        <w:t xml:space="preserve"> W. Michael Reisman, </w:t>
      </w:r>
      <w:r w:rsidRPr="001262DB">
        <w:rPr>
          <w:i/>
        </w:rPr>
        <w:t>Reflections on State Responsibility for Violations of Explicit Protectorate, Mandate, and Trusteeship Obligations</w:t>
      </w:r>
      <w:r w:rsidRPr="001262DB">
        <w:t xml:space="preserve">, 10 </w:t>
      </w:r>
      <w:r w:rsidRPr="001262DB">
        <w:rPr>
          <w:smallCaps/>
        </w:rPr>
        <w:t>Mich. J. Int’l L.</w:t>
      </w:r>
      <w:r w:rsidRPr="001262DB">
        <w:t xml:space="preserve"> 231, 234 (1989).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86F1C"/>
    <w:multiLevelType w:val="hybridMultilevel"/>
    <w:tmpl w:val="08AABB22"/>
    <w:lvl w:ilvl="0" w:tplc="B6381A6E">
      <w:start w:val="1"/>
      <w:numFmt w:val="decimal"/>
      <w:pStyle w:val="NumberedParagraphs"/>
      <w:lvlText w:val="%1."/>
      <w:lvlJc w:val="left"/>
      <w:pPr>
        <w:ind w:left="450" w:hanging="360"/>
      </w:pPr>
      <w:rPr>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1867A73"/>
    <w:multiLevelType w:val="multilevel"/>
    <w:tmpl w:val="2626DC1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6F6BC0"/>
    <w:rsid w:val="00001FBC"/>
    <w:rsid w:val="0001264D"/>
    <w:rsid w:val="00015540"/>
    <w:rsid w:val="000332BD"/>
    <w:rsid w:val="00082ABA"/>
    <w:rsid w:val="00095005"/>
    <w:rsid w:val="000A3101"/>
    <w:rsid w:val="000A6234"/>
    <w:rsid w:val="000B6BCA"/>
    <w:rsid w:val="000D781F"/>
    <w:rsid w:val="000E511F"/>
    <w:rsid w:val="000F3768"/>
    <w:rsid w:val="000F4EC6"/>
    <w:rsid w:val="00101694"/>
    <w:rsid w:val="001262DB"/>
    <w:rsid w:val="0013740E"/>
    <w:rsid w:val="00152460"/>
    <w:rsid w:val="001756F2"/>
    <w:rsid w:val="001828A7"/>
    <w:rsid w:val="001A0357"/>
    <w:rsid w:val="001A4627"/>
    <w:rsid w:val="001B1D79"/>
    <w:rsid w:val="001B5F46"/>
    <w:rsid w:val="001E56CE"/>
    <w:rsid w:val="001F5AAA"/>
    <w:rsid w:val="00214193"/>
    <w:rsid w:val="00215C7B"/>
    <w:rsid w:val="00233A17"/>
    <w:rsid w:val="00286F1E"/>
    <w:rsid w:val="002B5A57"/>
    <w:rsid w:val="002C4536"/>
    <w:rsid w:val="002D5DFC"/>
    <w:rsid w:val="002E4D17"/>
    <w:rsid w:val="002F6583"/>
    <w:rsid w:val="003006D9"/>
    <w:rsid w:val="00305151"/>
    <w:rsid w:val="00320F5F"/>
    <w:rsid w:val="00324010"/>
    <w:rsid w:val="00341D97"/>
    <w:rsid w:val="00346290"/>
    <w:rsid w:val="00356936"/>
    <w:rsid w:val="00362C19"/>
    <w:rsid w:val="00364915"/>
    <w:rsid w:val="00370643"/>
    <w:rsid w:val="003A19DA"/>
    <w:rsid w:val="003C0044"/>
    <w:rsid w:val="003C4640"/>
    <w:rsid w:val="003C4667"/>
    <w:rsid w:val="003D04A4"/>
    <w:rsid w:val="003E5C1A"/>
    <w:rsid w:val="003F690B"/>
    <w:rsid w:val="003F724E"/>
    <w:rsid w:val="004076D4"/>
    <w:rsid w:val="00417F58"/>
    <w:rsid w:val="00420D8B"/>
    <w:rsid w:val="00432031"/>
    <w:rsid w:val="004334A2"/>
    <w:rsid w:val="0045218D"/>
    <w:rsid w:val="004746E7"/>
    <w:rsid w:val="00482642"/>
    <w:rsid w:val="004B4A56"/>
    <w:rsid w:val="004B7B38"/>
    <w:rsid w:val="004E2DB4"/>
    <w:rsid w:val="004F40FC"/>
    <w:rsid w:val="005120C6"/>
    <w:rsid w:val="00515FE8"/>
    <w:rsid w:val="00524D0A"/>
    <w:rsid w:val="00532A1D"/>
    <w:rsid w:val="00541F8C"/>
    <w:rsid w:val="00543871"/>
    <w:rsid w:val="00543EF5"/>
    <w:rsid w:val="00585BCA"/>
    <w:rsid w:val="005920CA"/>
    <w:rsid w:val="005B5476"/>
    <w:rsid w:val="005D2535"/>
    <w:rsid w:val="005D27E5"/>
    <w:rsid w:val="005E2973"/>
    <w:rsid w:val="005F55A0"/>
    <w:rsid w:val="00625900"/>
    <w:rsid w:val="00625B67"/>
    <w:rsid w:val="0066611C"/>
    <w:rsid w:val="0067170B"/>
    <w:rsid w:val="006A0665"/>
    <w:rsid w:val="006C4BA9"/>
    <w:rsid w:val="006D1F4C"/>
    <w:rsid w:val="006E4E0B"/>
    <w:rsid w:val="006E586F"/>
    <w:rsid w:val="006F2C2D"/>
    <w:rsid w:val="006F6BC0"/>
    <w:rsid w:val="00712D40"/>
    <w:rsid w:val="007259AB"/>
    <w:rsid w:val="00726DD0"/>
    <w:rsid w:val="00730920"/>
    <w:rsid w:val="00732CE9"/>
    <w:rsid w:val="00737CEB"/>
    <w:rsid w:val="007605E4"/>
    <w:rsid w:val="00793F77"/>
    <w:rsid w:val="007A225A"/>
    <w:rsid w:val="007C0EE8"/>
    <w:rsid w:val="007C206A"/>
    <w:rsid w:val="007C39FA"/>
    <w:rsid w:val="007F41BF"/>
    <w:rsid w:val="00835518"/>
    <w:rsid w:val="0084078F"/>
    <w:rsid w:val="00851989"/>
    <w:rsid w:val="008631BD"/>
    <w:rsid w:val="008912AE"/>
    <w:rsid w:val="0089549B"/>
    <w:rsid w:val="00904A29"/>
    <w:rsid w:val="009210BD"/>
    <w:rsid w:val="009231B7"/>
    <w:rsid w:val="00947C8B"/>
    <w:rsid w:val="00950745"/>
    <w:rsid w:val="00977097"/>
    <w:rsid w:val="009C2844"/>
    <w:rsid w:val="00A12C46"/>
    <w:rsid w:val="00A178C2"/>
    <w:rsid w:val="00A30645"/>
    <w:rsid w:val="00A45954"/>
    <w:rsid w:val="00A64B07"/>
    <w:rsid w:val="00A72EAF"/>
    <w:rsid w:val="00A82834"/>
    <w:rsid w:val="00AA5F6C"/>
    <w:rsid w:val="00AA7550"/>
    <w:rsid w:val="00AC07D2"/>
    <w:rsid w:val="00AC2BBB"/>
    <w:rsid w:val="00AD19A8"/>
    <w:rsid w:val="00AD1DDF"/>
    <w:rsid w:val="00AD38B6"/>
    <w:rsid w:val="00AD52F5"/>
    <w:rsid w:val="00AE2C9B"/>
    <w:rsid w:val="00AF739A"/>
    <w:rsid w:val="00B0423A"/>
    <w:rsid w:val="00B12B4B"/>
    <w:rsid w:val="00B25B3E"/>
    <w:rsid w:val="00B3652A"/>
    <w:rsid w:val="00B477AE"/>
    <w:rsid w:val="00B54CBE"/>
    <w:rsid w:val="00B55F56"/>
    <w:rsid w:val="00BA030A"/>
    <w:rsid w:val="00BA439E"/>
    <w:rsid w:val="00BE6714"/>
    <w:rsid w:val="00BF2054"/>
    <w:rsid w:val="00C10DED"/>
    <w:rsid w:val="00C21761"/>
    <w:rsid w:val="00C21DB9"/>
    <w:rsid w:val="00C43467"/>
    <w:rsid w:val="00C526AE"/>
    <w:rsid w:val="00C60325"/>
    <w:rsid w:val="00C7317B"/>
    <w:rsid w:val="00CB259C"/>
    <w:rsid w:val="00CC1636"/>
    <w:rsid w:val="00CD6C7C"/>
    <w:rsid w:val="00CE6437"/>
    <w:rsid w:val="00CE7A47"/>
    <w:rsid w:val="00D020CC"/>
    <w:rsid w:val="00D060D0"/>
    <w:rsid w:val="00D56B3E"/>
    <w:rsid w:val="00D65123"/>
    <w:rsid w:val="00DA3ACC"/>
    <w:rsid w:val="00DB5A1D"/>
    <w:rsid w:val="00DC1E60"/>
    <w:rsid w:val="00DD1C6C"/>
    <w:rsid w:val="00DD5854"/>
    <w:rsid w:val="00DF33C3"/>
    <w:rsid w:val="00E0132A"/>
    <w:rsid w:val="00E1532F"/>
    <w:rsid w:val="00E306CC"/>
    <w:rsid w:val="00E31B06"/>
    <w:rsid w:val="00E6086C"/>
    <w:rsid w:val="00E65A59"/>
    <w:rsid w:val="00E67B48"/>
    <w:rsid w:val="00E72D93"/>
    <w:rsid w:val="00E869F5"/>
    <w:rsid w:val="00E874B8"/>
    <w:rsid w:val="00E96DB6"/>
    <w:rsid w:val="00EA2D28"/>
    <w:rsid w:val="00EF43F1"/>
    <w:rsid w:val="00EF775D"/>
    <w:rsid w:val="00F05682"/>
    <w:rsid w:val="00F26493"/>
    <w:rsid w:val="00F41483"/>
    <w:rsid w:val="00F458D1"/>
    <w:rsid w:val="00F61726"/>
    <w:rsid w:val="00F70F2F"/>
    <w:rsid w:val="00F76D54"/>
    <w:rsid w:val="00F975FF"/>
    <w:rsid w:val="00F97715"/>
    <w:rsid w:val="00FA704E"/>
    <w:rsid w:val="00FB106D"/>
    <w:rsid w:val="00FD39EF"/>
    <w:rsid w:val="00FF4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86C"/>
    <w:pPr>
      <w:spacing w:after="200" w:line="276" w:lineRule="auto"/>
    </w:pPr>
    <w:rPr>
      <w:sz w:val="22"/>
      <w:szCs w:val="22"/>
    </w:rPr>
  </w:style>
  <w:style w:type="paragraph" w:styleId="Heading1">
    <w:name w:val="heading 1"/>
    <w:basedOn w:val="Normal"/>
    <w:next w:val="Normal"/>
    <w:link w:val="Heading1Char"/>
    <w:uiPriority w:val="9"/>
    <w:qFormat/>
    <w:rsid w:val="006F6BC0"/>
    <w:pPr>
      <w:keepNext/>
      <w:keepLines/>
      <w:numPr>
        <w:numId w:val="1"/>
      </w:numPr>
      <w:spacing w:before="240" w:after="240" w:line="240" w:lineRule="auto"/>
      <w:outlineLvl w:val="0"/>
    </w:pPr>
    <w:rPr>
      <w:rFonts w:ascii="Times New Roman" w:eastAsia="Times New Roman" w:hAnsi="Times New Roman"/>
      <w:b/>
      <w:bCs/>
      <w:sz w:val="24"/>
      <w:szCs w:val="28"/>
    </w:rPr>
  </w:style>
  <w:style w:type="paragraph" w:styleId="Heading2">
    <w:name w:val="heading 2"/>
    <w:basedOn w:val="Normal"/>
    <w:next w:val="Normal"/>
    <w:link w:val="Heading2Char"/>
    <w:uiPriority w:val="9"/>
    <w:qFormat/>
    <w:rsid w:val="006F6BC0"/>
    <w:pPr>
      <w:keepNext/>
      <w:keepLines/>
      <w:numPr>
        <w:ilvl w:val="1"/>
        <w:numId w:val="1"/>
      </w:numPr>
      <w:spacing w:after="240" w:line="240" w:lineRule="auto"/>
      <w:ind w:left="1440" w:hanging="720"/>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qFormat/>
    <w:rsid w:val="006F6BC0"/>
    <w:pPr>
      <w:keepNext/>
      <w:keepLines/>
      <w:numPr>
        <w:ilvl w:val="2"/>
        <w:numId w:val="1"/>
      </w:numPr>
      <w:spacing w:after="240" w:line="240" w:lineRule="auto"/>
      <w:ind w:left="720"/>
      <w:jc w:val="both"/>
      <w:outlineLvl w:val="2"/>
    </w:pPr>
    <w:rPr>
      <w:rFonts w:ascii="Times New Roman" w:eastAsia="Times New Roman" w:hAnsi="Times New Roman"/>
      <w:bCs/>
      <w:sz w:val="24"/>
      <w:u w:val="single"/>
    </w:rPr>
  </w:style>
  <w:style w:type="paragraph" w:styleId="Heading4">
    <w:name w:val="heading 4"/>
    <w:basedOn w:val="Normal"/>
    <w:next w:val="Normal"/>
    <w:link w:val="Heading4Char"/>
    <w:uiPriority w:val="9"/>
    <w:qFormat/>
    <w:rsid w:val="006F6BC0"/>
    <w:pPr>
      <w:keepNext/>
      <w:keepLines/>
      <w:numPr>
        <w:ilvl w:val="3"/>
        <w:numId w:val="1"/>
      </w:numPr>
      <w:spacing w:before="200" w:after="0" w:line="240" w:lineRule="auto"/>
      <w:jc w:val="both"/>
      <w:outlineLvl w:val="3"/>
    </w:pPr>
    <w:rPr>
      <w:rFonts w:ascii="Cambria" w:eastAsia="Times New Roman" w:hAnsi="Cambria"/>
      <w:b/>
      <w:bCs/>
      <w:i/>
      <w:iCs/>
      <w:color w:val="4F81BD"/>
      <w:sz w:val="24"/>
    </w:rPr>
  </w:style>
  <w:style w:type="paragraph" w:styleId="Heading5">
    <w:name w:val="heading 5"/>
    <w:basedOn w:val="Normal"/>
    <w:next w:val="Normal"/>
    <w:link w:val="Heading5Char"/>
    <w:uiPriority w:val="9"/>
    <w:qFormat/>
    <w:rsid w:val="006F6BC0"/>
    <w:pPr>
      <w:keepNext/>
      <w:keepLines/>
      <w:numPr>
        <w:ilvl w:val="4"/>
        <w:numId w:val="1"/>
      </w:numPr>
      <w:spacing w:before="200" w:after="0" w:line="240" w:lineRule="auto"/>
      <w:jc w:val="both"/>
      <w:outlineLvl w:val="4"/>
    </w:pPr>
    <w:rPr>
      <w:rFonts w:ascii="Cambria" w:eastAsia="Times New Roman" w:hAnsi="Cambria"/>
      <w:color w:val="243F60"/>
      <w:sz w:val="24"/>
    </w:rPr>
  </w:style>
  <w:style w:type="paragraph" w:styleId="Heading6">
    <w:name w:val="heading 6"/>
    <w:basedOn w:val="Normal"/>
    <w:next w:val="Normal"/>
    <w:link w:val="Heading6Char"/>
    <w:uiPriority w:val="9"/>
    <w:qFormat/>
    <w:rsid w:val="006F6BC0"/>
    <w:pPr>
      <w:keepNext/>
      <w:keepLines/>
      <w:numPr>
        <w:ilvl w:val="5"/>
        <w:numId w:val="1"/>
      </w:numPr>
      <w:spacing w:before="200" w:after="0" w:line="240" w:lineRule="auto"/>
      <w:jc w:val="both"/>
      <w:outlineLvl w:val="5"/>
    </w:pPr>
    <w:rPr>
      <w:rFonts w:ascii="Cambria" w:eastAsia="Times New Roman" w:hAnsi="Cambria"/>
      <w:i/>
      <w:iCs/>
      <w:color w:val="243F60"/>
      <w:sz w:val="24"/>
    </w:rPr>
  </w:style>
  <w:style w:type="paragraph" w:styleId="Heading7">
    <w:name w:val="heading 7"/>
    <w:basedOn w:val="Normal"/>
    <w:next w:val="Normal"/>
    <w:link w:val="Heading7Char"/>
    <w:uiPriority w:val="9"/>
    <w:qFormat/>
    <w:rsid w:val="006F6BC0"/>
    <w:pPr>
      <w:keepNext/>
      <w:keepLines/>
      <w:numPr>
        <w:ilvl w:val="6"/>
        <w:numId w:val="1"/>
      </w:numPr>
      <w:spacing w:before="200" w:after="0" w:line="240" w:lineRule="auto"/>
      <w:jc w:val="both"/>
      <w:outlineLvl w:val="6"/>
    </w:pPr>
    <w:rPr>
      <w:rFonts w:ascii="Cambria" w:eastAsia="Times New Roman" w:hAnsi="Cambria"/>
      <w:i/>
      <w:iCs/>
      <w:color w:val="404040"/>
      <w:sz w:val="24"/>
    </w:rPr>
  </w:style>
  <w:style w:type="paragraph" w:styleId="Heading8">
    <w:name w:val="heading 8"/>
    <w:basedOn w:val="Normal"/>
    <w:next w:val="Normal"/>
    <w:link w:val="Heading8Char"/>
    <w:uiPriority w:val="9"/>
    <w:qFormat/>
    <w:rsid w:val="006F6BC0"/>
    <w:pPr>
      <w:keepNext/>
      <w:keepLines/>
      <w:numPr>
        <w:ilvl w:val="7"/>
        <w:numId w:val="1"/>
      </w:numPr>
      <w:spacing w:before="200" w:after="0" w:line="240" w:lineRule="auto"/>
      <w:jc w:val="both"/>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6F6BC0"/>
    <w:pPr>
      <w:keepNext/>
      <w:keepLines/>
      <w:numPr>
        <w:ilvl w:val="8"/>
        <w:numId w:val="1"/>
      </w:numPr>
      <w:spacing w:before="200" w:after="0" w:line="240" w:lineRule="auto"/>
      <w:jc w:val="both"/>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BC0"/>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9"/>
    <w:rsid w:val="006F6BC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6F6BC0"/>
    <w:rPr>
      <w:rFonts w:ascii="Times New Roman" w:eastAsia="Times New Roman" w:hAnsi="Times New Roman" w:cs="Times New Roman"/>
      <w:bCs/>
      <w:sz w:val="24"/>
      <w:u w:val="single"/>
    </w:rPr>
  </w:style>
  <w:style w:type="character" w:customStyle="1" w:styleId="Heading4Char">
    <w:name w:val="Heading 4 Char"/>
    <w:basedOn w:val="DefaultParagraphFont"/>
    <w:link w:val="Heading4"/>
    <w:uiPriority w:val="9"/>
    <w:rsid w:val="006F6BC0"/>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
    <w:semiHidden/>
    <w:rsid w:val="006F6BC0"/>
    <w:rPr>
      <w:rFonts w:ascii="Cambria" w:eastAsia="Times New Roman" w:hAnsi="Cambria" w:cs="Times New Roman"/>
      <w:color w:val="243F60"/>
      <w:sz w:val="24"/>
    </w:rPr>
  </w:style>
  <w:style w:type="character" w:customStyle="1" w:styleId="Heading6Char">
    <w:name w:val="Heading 6 Char"/>
    <w:basedOn w:val="DefaultParagraphFont"/>
    <w:link w:val="Heading6"/>
    <w:uiPriority w:val="9"/>
    <w:semiHidden/>
    <w:rsid w:val="006F6BC0"/>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
    <w:semiHidden/>
    <w:rsid w:val="006F6BC0"/>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semiHidden/>
    <w:rsid w:val="006F6BC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6F6BC0"/>
    <w:rPr>
      <w:rFonts w:ascii="Cambria" w:eastAsia="Times New Roman" w:hAnsi="Cambria" w:cs="Times New Roman"/>
      <w:i/>
      <w:iCs/>
      <w:color w:val="404040"/>
      <w:sz w:val="20"/>
      <w:szCs w:val="20"/>
    </w:rPr>
  </w:style>
  <w:style w:type="paragraph" w:styleId="FootnoteText">
    <w:name w:val="footnote text"/>
    <w:basedOn w:val="Normal"/>
    <w:link w:val="FootnoteTextChar"/>
    <w:uiPriority w:val="99"/>
    <w:unhideWhenUsed/>
    <w:qFormat/>
    <w:rsid w:val="006F6BC0"/>
    <w:pPr>
      <w:spacing w:after="120" w:line="240" w:lineRule="auto"/>
      <w:ind w:firstLine="720"/>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6F6BC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F6BC0"/>
    <w:rPr>
      <w:vertAlign w:val="superscript"/>
    </w:rPr>
  </w:style>
  <w:style w:type="paragraph" w:customStyle="1" w:styleId="NumberedParagraphs">
    <w:name w:val="Numbered Paragraphs"/>
    <w:basedOn w:val="ListParagraph"/>
    <w:link w:val="NumberedParagraphsChar"/>
    <w:qFormat/>
    <w:rsid w:val="006F6BC0"/>
    <w:pPr>
      <w:numPr>
        <w:numId w:val="2"/>
      </w:numPr>
      <w:spacing w:after="240" w:line="240" w:lineRule="auto"/>
      <w:contextualSpacing w:val="0"/>
      <w:jc w:val="both"/>
    </w:pPr>
    <w:rPr>
      <w:rFonts w:ascii="Times New Roman" w:hAnsi="Times New Roman"/>
      <w:color w:val="000000"/>
      <w:sz w:val="24"/>
    </w:rPr>
  </w:style>
  <w:style w:type="character" w:customStyle="1" w:styleId="NumberedParagraphsChar">
    <w:name w:val="Numbered Paragraphs Char"/>
    <w:basedOn w:val="DefaultParagraphFont"/>
    <w:link w:val="NumberedParagraphs"/>
    <w:rsid w:val="006F6BC0"/>
    <w:rPr>
      <w:rFonts w:ascii="Times New Roman" w:hAnsi="Times New Roman"/>
      <w:color w:val="000000"/>
      <w:sz w:val="24"/>
    </w:rPr>
  </w:style>
  <w:style w:type="paragraph" w:styleId="ListParagraph">
    <w:name w:val="List Paragraph"/>
    <w:basedOn w:val="Normal"/>
    <w:uiPriority w:val="34"/>
    <w:qFormat/>
    <w:rsid w:val="006F6BC0"/>
    <w:pPr>
      <w:ind w:left="720"/>
      <w:contextualSpacing/>
    </w:pPr>
  </w:style>
  <w:style w:type="paragraph" w:styleId="NormalWeb">
    <w:name w:val="Normal (Web)"/>
    <w:basedOn w:val="Normal"/>
    <w:uiPriority w:val="99"/>
    <w:unhideWhenUsed/>
    <w:rsid w:val="00C21DB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32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CE9"/>
  </w:style>
  <w:style w:type="paragraph" w:styleId="Footer">
    <w:name w:val="footer"/>
    <w:basedOn w:val="Normal"/>
    <w:link w:val="FooterChar"/>
    <w:uiPriority w:val="99"/>
    <w:unhideWhenUsed/>
    <w:rsid w:val="00732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CE9"/>
  </w:style>
  <w:style w:type="paragraph" w:styleId="BalloonText">
    <w:name w:val="Balloon Text"/>
    <w:basedOn w:val="Normal"/>
    <w:link w:val="BalloonTextChar"/>
    <w:uiPriority w:val="99"/>
    <w:semiHidden/>
    <w:unhideWhenUsed/>
    <w:rsid w:val="00732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CE9"/>
    <w:rPr>
      <w:rFonts w:ascii="Tahoma" w:hAnsi="Tahoma" w:cs="Tahoma"/>
      <w:sz w:val="16"/>
      <w:szCs w:val="16"/>
    </w:rPr>
  </w:style>
  <w:style w:type="character" w:styleId="CommentReference">
    <w:name w:val="annotation reference"/>
    <w:basedOn w:val="DefaultParagraphFont"/>
    <w:semiHidden/>
    <w:rsid w:val="00712D40"/>
    <w:rPr>
      <w:sz w:val="16"/>
      <w:szCs w:val="16"/>
    </w:rPr>
  </w:style>
  <w:style w:type="paragraph" w:styleId="CommentText">
    <w:name w:val="annotation text"/>
    <w:basedOn w:val="Normal"/>
    <w:semiHidden/>
    <w:rsid w:val="00712D40"/>
    <w:rPr>
      <w:sz w:val="20"/>
      <w:szCs w:val="20"/>
    </w:rPr>
  </w:style>
  <w:style w:type="paragraph" w:styleId="CommentSubject">
    <w:name w:val="annotation subject"/>
    <w:basedOn w:val="CommentText"/>
    <w:next w:val="CommentText"/>
    <w:semiHidden/>
    <w:rsid w:val="00712D4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B1CEFF7A2D6448FDCD9A3B6622E41" ma:contentTypeVersion="1" ma:contentTypeDescription="Create a new document." ma:contentTypeScope="" ma:versionID="8fb991125bb92e7f92ecbd46a7159b84">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9AC914-AB33-4E18-84D9-E2D05D3743CC}"/>
</file>

<file path=customXml/itemProps2.xml><?xml version="1.0" encoding="utf-8"?>
<ds:datastoreItem xmlns:ds="http://schemas.openxmlformats.org/officeDocument/2006/customXml" ds:itemID="{0CCCE35F-FEB0-4487-B319-18D2229727B4}"/>
</file>

<file path=customXml/itemProps3.xml><?xml version="1.0" encoding="utf-8"?>
<ds:datastoreItem xmlns:ds="http://schemas.openxmlformats.org/officeDocument/2006/customXml" ds:itemID="{6561042E-C0D9-4371-81AF-B29DD73F31AC}"/>
</file>

<file path=docProps/app.xml><?xml version="1.0" encoding="utf-8"?>
<Properties xmlns="http://schemas.openxmlformats.org/officeDocument/2006/extended-properties" xmlns:vt="http://schemas.openxmlformats.org/officeDocument/2006/docPropsVTypes">
  <Template>Normal</Template>
  <TotalTime>96</TotalTime>
  <Pages>1</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Republika Srpska Cannot Accept the High Representative’s Unlawful Decision to Impose Foreign Judges and Prosecutors</vt:lpstr>
    </vt:vector>
  </TitlesOfParts>
  <Company>Home</Company>
  <LinksUpToDate>false</LinksUpToDate>
  <CharactersWithSpaces>18073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Srpska Cannot Accept the High Representative’s Unlawful Decision to Impose Foreign Judges and Prosecutors</dc:title>
  <dc:creator>Ed Rowe</dc:creator>
  <cp:lastModifiedBy>Ed Rowe</cp:lastModifiedBy>
  <cp:revision>8</cp:revision>
  <cp:lastPrinted>2009-12-02T16:51:00Z</cp:lastPrinted>
  <dcterms:created xsi:type="dcterms:W3CDTF">2009-12-18T11:00:00Z</dcterms:created>
  <dcterms:modified xsi:type="dcterms:W3CDTF">2009-12-22T07:21:00Z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0x010100E9EB1CEFF7A2D6448FDCD9A3B6622E41</vt:lpwstr>
  </property>
  <property fmtid="{D5CDD505-2E9C-101B-9397-08002B2CF9AE}" pid="3" name="_CopySource">
    <vt:lpwstr>Documents/RS Response to HR Decision on Foreigners.docx</vt:lpwstr>
  </property>
</Properties>
</file>